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DB" w:rsidRPr="00163DF0" w:rsidRDefault="00186EDB" w:rsidP="00186EDB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Metropolis-Regular" w:hAnsi="Metropolis-Regular" w:cs="Metropolis-Regular"/>
          <w:color w:val="001A71"/>
          <w:sz w:val="13"/>
          <w:szCs w:val="13"/>
        </w:rPr>
        <w:t xml:space="preserve">pocztowa nr 419 </w:t>
      </w:r>
      <w:r w:rsidRPr="00163DF0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· </w:t>
      </w:r>
      <w:r w:rsidRPr="00163DF0">
        <w:rPr>
          <w:rFonts w:ascii="Metropolis-Regular" w:hAnsi="Metropolis-Regular" w:cs="Metropolis-Regular"/>
          <w:color w:val="001A71"/>
          <w:sz w:val="13"/>
          <w:szCs w:val="13"/>
        </w:rPr>
        <w:t xml:space="preserve">00-950 Warszawa 1 </w:t>
      </w:r>
      <w:r w:rsidRPr="00163DF0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· </w:t>
      </w:r>
      <w:proofErr w:type="spellStart"/>
      <w:r w:rsidRPr="00163DF0">
        <w:rPr>
          <w:rFonts w:ascii="Metropolis-Regular" w:hAnsi="Metropolis-Regular" w:cs="Metropolis-Regular"/>
          <w:color w:val="001A71"/>
          <w:sz w:val="13"/>
          <w:szCs w:val="13"/>
        </w:rPr>
        <w:t>tel</w:t>
      </w:r>
      <w:proofErr w:type="spellEnd"/>
      <w:r w:rsidRPr="00163DF0">
        <w:rPr>
          <w:rFonts w:ascii="Metropolis-Regular" w:hAnsi="Metropolis-Regular" w:cs="Metropolis-Regular"/>
          <w:color w:val="001A71"/>
          <w:sz w:val="13"/>
          <w:szCs w:val="13"/>
        </w:rPr>
        <w:t xml:space="preserve"> . +48 22 262 41 11 </w:t>
      </w:r>
      <w:r w:rsidRPr="00163DF0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· </w:t>
      </w:r>
      <w:r w:rsidRPr="00163DF0">
        <w:rPr>
          <w:rFonts w:ascii="Metropolis-Regular" w:hAnsi="Metropolis-Regular" w:cs="Metropolis-Regular"/>
          <w:color w:val="001A71"/>
          <w:sz w:val="13"/>
          <w:szCs w:val="13"/>
        </w:rPr>
        <w:t xml:space="preserve">fax +48 22 262 51 95 </w:t>
      </w:r>
      <w:r w:rsidRPr="00163DF0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· </w:t>
      </w:r>
      <w:r w:rsidRPr="00163DF0">
        <w:rPr>
          <w:rFonts w:ascii="Metropolis-Regular" w:hAnsi="Metropolis-Regular" w:cs="Metropolis-Regular"/>
          <w:color w:val="001A71"/>
          <w:sz w:val="13"/>
          <w:szCs w:val="13"/>
        </w:rPr>
        <w:t>www.knf.gov.p</w:t>
      </w:r>
      <w:r>
        <w:rPr>
          <w:rFonts w:ascii="Metropolis-Regular" w:hAnsi="Metropolis-Regular" w:cs="Metropolis-Regular"/>
          <w:color w:val="001A71"/>
          <w:sz w:val="13"/>
          <w:szCs w:val="13"/>
        </w:rPr>
        <w:t>L</w:t>
      </w:r>
      <w:r>
        <w:rPr>
          <w:noProof/>
        </w:rPr>
        <w:t xml:space="preserve"> </w:t>
      </w:r>
      <w:r w:rsidRPr="00163DF0">
        <w:rPr>
          <w:rFonts w:ascii="Metropolis-Regular" w:hAnsi="Metropolis-Regular" w:cs="Metropolis-Regular"/>
          <w:color w:val="001A71"/>
          <w:sz w:val="13"/>
          <w:szCs w:val="13"/>
        </w:rPr>
        <w:t xml:space="preserve">Plac Powstańców Warszawy 1 </w:t>
      </w:r>
      <w:r w:rsidRPr="00163DF0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· </w:t>
      </w:r>
      <w:r w:rsidRPr="00163DF0">
        <w:rPr>
          <w:rFonts w:ascii="Metropolis-Regular" w:hAnsi="Metropolis-Regular" w:cs="Metropolis-Regular"/>
          <w:color w:val="001A71"/>
          <w:sz w:val="13"/>
          <w:szCs w:val="13"/>
        </w:rPr>
        <w:t xml:space="preserve">skrytka </w:t>
      </w:r>
      <w:r>
        <w:rPr>
          <w:noProof/>
        </w:rPr>
        <w:drawing>
          <wp:inline distT="0" distB="0" distL="0" distR="0">
            <wp:extent cx="3914775" cy="12477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PlayfairDisplay-Regular" w:hAnsi="PlayfairDisplay-Regular" w:cs="PlayfairDisplay-Regular"/>
          <w:color w:val="000000"/>
        </w:rPr>
        <w:t>10 maja 2018</w:t>
      </w:r>
      <w:r w:rsidRPr="00163DF0">
        <w:rPr>
          <w:rFonts w:ascii="PlayfairDisplay-Regular" w:hAnsi="PlayfairDisplay-Regular" w:cs="PlayfairDisplay-Regular"/>
          <w:color w:val="000000"/>
        </w:rPr>
        <w:t xml:space="preserve"> r.</w:t>
      </w:r>
    </w:p>
    <w:p w:rsidR="00163DF0" w:rsidRPr="00186EDB" w:rsidRDefault="00163DF0" w:rsidP="00163DF0">
      <w:pPr>
        <w:autoSpaceDE w:val="0"/>
        <w:autoSpaceDN w:val="0"/>
        <w:adjustRightInd w:val="0"/>
        <w:spacing w:after="0" w:line="240" w:lineRule="auto"/>
      </w:pP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Bold" w:hAnsi="PlayfairDisplay-Bold" w:cs="PlayfairDisplay-Bold"/>
          <w:b/>
          <w:bCs/>
          <w:color w:val="000000"/>
        </w:rPr>
      </w:pPr>
      <w:bookmarkStart w:id="0" w:name="_GoBack"/>
      <w:r w:rsidRPr="00163DF0">
        <w:rPr>
          <w:rFonts w:ascii="PlayfairDisplay-Bold" w:hAnsi="PlayfairDisplay-Bold" w:cs="PlayfairDisplay-Bold"/>
          <w:b/>
          <w:bCs/>
          <w:color w:val="000000"/>
        </w:rPr>
        <w:t>Komunikat w sprawie ubezpieczeń NNW dzieci i młodzieży szkolnej</w:t>
      </w:r>
    </w:p>
    <w:bookmarkEnd w:id="0"/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W toku analizy praktyk zakładów ubezpieczeń związanych z oferowaniem grupowych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ubezpieczeń następstw nieszczęśliwych wypadków dzieci i młodzieży szkolnej (</w:t>
      </w:r>
      <w:r w:rsidRPr="00163DF0">
        <w:rPr>
          <w:rFonts w:ascii="PlayfairDisplay-Italic" w:hAnsi="PlayfairDisplay-Italic" w:cs="PlayfairDisplay-Italic"/>
          <w:i/>
          <w:iCs/>
          <w:color w:val="000000"/>
        </w:rPr>
        <w:t>dalej jako</w:t>
      </w:r>
      <w:r w:rsidRPr="00163DF0">
        <w:rPr>
          <w:rFonts w:ascii="PlayfairDisplay-Regular" w:hAnsi="PlayfairDisplay-Regular" w:cs="PlayfairDisplay-Regular"/>
          <w:color w:val="000000"/>
        </w:rPr>
        <w:t>: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NNW) Komisja Nadzoru Finansowego otrzymuje sygnały, które wymagają zainteresowania ze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strony organu nadzoru. Dotyczą one sposobu oferowania możliwości skorzystania z ochrony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ubezpieczeniowej w tym ubezpieczeniu, w szczególności zapewniania przez zakłady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ubezpieczeń odpowiednich informacji klientom celem dokonania przez nich optymalnego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wyboru wariantu ubezpieczenia oraz kwestii związanych z oferowaniem wynagrodzeń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i gratyfikacji ubezpieczającemu lub podmiotom działającym na rzecz lub w imieniu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ubezpieczającego. Ponadto w poruszonym zakresie Komisja Nadzoru Finansowego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zidentyfikowała wątpliwości prawne, wymagające wyjaśnienia celem zapewnienia zakładom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ubezpieczeń odpowiedniego poziomu pewności uwarunkowań wykonywanej działalności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gospodarczej (ubezpieczeniowej).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Ubezpieczenia NNW w warunkach rynku polskiego oferowane są na ogół w formie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grupowej, przy wykorzystaniu konstrukcji ubezpieczenia na cudzy rachunek. Podmiotem,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którego dobro (interes ubezpieczeniowy) objęte jest ochroną ubezpieczeniową, czyli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ubezpieczonym jest uczeń, natomiast status strony umowy ubezpieczenia, czyli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ubezpieczającego, posiada innym podmiot (z zasady w przypadku szkół publicznych, które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dominują w Polsce, jest to jednostka samorządu terytorialnego prowadząca szkołę,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reprezentowana przez umocowaną osobę fizyczną, choć w praktyce bywa – co stanowi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pewne uproszczenie – że jako ubezpieczający oznaczana jest szkoła, jej dyrektor lub rada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rodziców). Jakkolwiek podmiotem, w stosunku do którego zakładowi ubezpieczeń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przysługuje roszczenie o zapłatę składki jest ubezpieczający, powszechną praktyką na rynku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polskim jest, iż w rzeczywistości ekonomiczny ciężar kosztu składki ubezpieczeniowej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spoczywa na ubezpieczonym (w przypadku – co jest regułą – małoletnich uczniów dotyczy to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 xml:space="preserve">przedstawicieli ustawowych). </w:t>
      </w:r>
      <w:r w:rsidRPr="00156DD2">
        <w:rPr>
          <w:rFonts w:ascii="PlayfairDisplay-Regular" w:hAnsi="PlayfairDisplay-Regular" w:cs="PlayfairDisplay-Regular"/>
          <w:b/>
          <w:color w:val="000000"/>
        </w:rPr>
        <w:t>Kwalifikacja ubezpieczeń NNW jako zawieranych na cudzy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rachunek, w których dodatkowo koszt składki ubezpieczeniowej obciąża ubezpieczonych,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skutkuje zastosowaniem w przedmiotowym przypadku określonych regulacji prawnych oraz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oczekiwań nadzorczych, do których stosowanie się powinno zapobiegać powstaniu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nieprawidłowości oraz ich konsekwencji, przekładających się dla zakładów ubezpieczeń na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ryzyko ponoszenia odpowiedzialności prawnej w sferze prawa prywatnego i publicznego,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a dla rynku w ogólności – ryzyko spadku społecznego zaufania.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Jednym z publicznie zidentyfikowanych problemów jest oferowanie ubezpieczeń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NNW w sposób nie zapewniający ubezpieczonym (ich przedstawicielom ustawowym)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należytej wiedzy co do warunków, na jakich świadczona jest ochrona ubezpieczeniowa,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a w szczególności zdarzeń, z tytułu których odpowiedzialność ponosi zakład ubezpieczeń,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oraz zasad ustalania wysokości przysługujących w razie nieszczęśliwego wypadku świadczeń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lastRenderedPageBreak/>
        <w:t>pieniężnych. Prowadzi to do rozczarowania ubezpieczonych (ich przedstawicieli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ustawowych) jakością udzielanej ochrony. W związku z powyższym organ nadzoru oczekuje,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że zakłady ubezpieczeń nie będą stosować technik sprzedażowych prowadzących do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powstania mylnego wyobrażenia ubezpieczających i ubezpieczonych co do warunków, na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jakich udzielana jest ochrona ubezpieczeniowa w ubezpieczeniu NNW. W szczególności organ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nadzoru sygnalizuje potrzebę, aby zakłady ubezpieczeń, przed zawarciem umowy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ubezpieczenia przez ubezpieczającego, rzetelnie przedstawiały zakres ochrony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ubezpieczeniowej, procedury likwidacyjne a także wyjaśniały zależność pomiędzy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wysokością sum ubezpieczenia (</w:t>
      </w:r>
      <w:proofErr w:type="spellStart"/>
      <w:r w:rsidRPr="00163DF0">
        <w:rPr>
          <w:rFonts w:ascii="PlayfairDisplay-Regular" w:hAnsi="PlayfairDisplay-Regular" w:cs="PlayfairDisplay-Regular"/>
          <w:color w:val="000000"/>
        </w:rPr>
        <w:t>podlimitów</w:t>
      </w:r>
      <w:proofErr w:type="spellEnd"/>
      <w:r w:rsidRPr="00163DF0">
        <w:rPr>
          <w:rFonts w:ascii="PlayfairDisplay-Regular" w:hAnsi="PlayfairDisplay-Regular" w:cs="PlayfairDisplay-Regular"/>
          <w:color w:val="000000"/>
        </w:rPr>
        <w:t>) a wysokością świadczeń przysługujących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 tytułu określonego rodzaju zdarzeń losowych, oraz wskazywały na powiązanie tej kwestii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 wysokością składki. W tym ostatnim zakresie zakłady ubezpieczeń powinny prezentować –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o ile jest to dostępne w ramach oferty poszczególnych zakładów ubezpieczeń przygotowanej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Italic" w:hAnsi="PlayfairDisplay-Italic" w:cs="PlayfairDisplay-Italic"/>
          <w:i/>
          <w:iCs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 xml:space="preserve">przy uwzględnieniu pkt. 11.1 i następnych </w:t>
      </w:r>
      <w:r w:rsidRPr="00163DF0">
        <w:rPr>
          <w:rFonts w:ascii="PlayfairDisplay-Italic" w:hAnsi="PlayfairDisplay-Italic" w:cs="PlayfairDisplay-Italic"/>
          <w:i/>
          <w:iCs/>
          <w:color w:val="000000"/>
        </w:rPr>
        <w:t>Rekomendacji dla zakładów ubezpieczeń dotyczących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Italic" w:hAnsi="PlayfairDisplay-Italic" w:cs="PlayfairDisplay-Italic"/>
          <w:i/>
          <w:iCs/>
          <w:color w:val="000000"/>
        </w:rPr>
        <w:t xml:space="preserve">systemu zarządzania produktem </w:t>
      </w:r>
      <w:r w:rsidRPr="00163DF0">
        <w:rPr>
          <w:rFonts w:ascii="PlayfairDisplay-Regular" w:hAnsi="PlayfairDisplay-Regular" w:cs="PlayfairDisplay-Regular"/>
          <w:color w:val="000000"/>
        </w:rPr>
        <w:t>– możliwość skorzystania z różnych wariantów ubezpieczenia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NNW, bez promowania wariantu z najniższą wysokością składki jako domniemanego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najbardziej pożądanego przez ubezpieczonych (ich przedstawicieli ustawowych). Zakłady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ubezpieczeń powinny również podejmować działania (polegające m. in. na sposobie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Italic" w:hAnsi="PlayfairDisplay-Italic" w:cs="PlayfairDisplay-Italic"/>
          <w:i/>
          <w:iCs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 xml:space="preserve">skonstruowania materiałów marketingowych w zgodzie z pkt. 16.1 i następnymi </w:t>
      </w:r>
      <w:r w:rsidRPr="00163DF0">
        <w:rPr>
          <w:rFonts w:ascii="PlayfairDisplay-Italic" w:hAnsi="PlayfairDisplay-Italic" w:cs="PlayfairDisplay-Italic"/>
          <w:i/>
          <w:iCs/>
          <w:color w:val="000000"/>
        </w:rPr>
        <w:t>Rekomendacji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Italic" w:hAnsi="PlayfairDisplay-Italic" w:cs="PlayfairDisplay-Italic"/>
          <w:i/>
          <w:iCs/>
          <w:color w:val="000000"/>
        </w:rPr>
        <w:t>dla zakładów ubezpieczeń dotyczących systemu zarządzania produktem</w:t>
      </w:r>
      <w:r w:rsidRPr="00163DF0">
        <w:rPr>
          <w:rFonts w:ascii="PlayfairDisplay-Regular" w:hAnsi="PlayfairDisplay-Regular" w:cs="PlayfairDisplay-Regular"/>
          <w:color w:val="000000"/>
        </w:rPr>
        <w:t>) służące zapewnieniu,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że świadome decyzje co do wyboru ubezpieczenia NNW będą zapadać nie tylko po stronie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ubezpieczającego, ale również ubezpieczonego (jego przedstawicieli ustawowych). Działania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takie w ocenie organu nadzoru w znaczącym stopniu wyeliminują ryzyko zakwalifikowania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zachowań zakładów ubezpieczeń jako proponowania konsumentom nabycia usług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finansowych, które nie odpowiadają potrzebom tych konsumentów ustalonym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 uwzględnieniem dostępnych przedsiębiorcy informacji w zakresie cech tych konsumentów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(zob. art. 24 ust. 2 pkt 4 ustawy z dnia 16 lutego 2007 r. o ochronie konkurencji i konsumentów,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Dz.U. z 2017 r. poz. 220), stanowić będą również wypełnienie oczekiwań nadzorczych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Italic" w:hAnsi="PlayfairDisplay-Italic" w:cs="PlayfairDisplay-Italic"/>
          <w:i/>
          <w:iCs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 xml:space="preserve">zawartych w pkt. 7.1 zdanie pierwsze oraz 7.2. zdanie pierwsze, a także 9.1, 9.4, 9.5 </w:t>
      </w:r>
      <w:r w:rsidRPr="00163DF0">
        <w:rPr>
          <w:rFonts w:ascii="PlayfairDisplay-Italic" w:hAnsi="PlayfairDisplay-Italic" w:cs="PlayfairDisplay-Italic"/>
          <w:i/>
          <w:iCs/>
          <w:color w:val="000000"/>
        </w:rPr>
        <w:t>Wytycznych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Italic" w:hAnsi="PlayfairDisplay-Italic" w:cs="PlayfairDisplay-Italic"/>
          <w:i/>
          <w:iCs/>
          <w:color w:val="000000"/>
        </w:rPr>
        <w:t>dla zakładów ubezpieczeń dotyczących dystrybucji ubezpieczeń</w:t>
      </w:r>
      <w:r w:rsidRPr="00163DF0">
        <w:rPr>
          <w:rFonts w:ascii="PlayfairDisplay-Regular" w:hAnsi="PlayfairDisplay-Regular" w:cs="PlayfairDisplay-Regular"/>
          <w:color w:val="000000"/>
        </w:rPr>
        <w:t>, przy czym za postanowienia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szczególnie istotne dla klienta uznać należy te klauzule umowne, które są źródłem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zidentyfikowanych powyżej zjawisk o charakterze nieprawidłowym. Powyższe działania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informacyjne stanowić będą uzupełnienie regulacji zawartej w art. 17 ust. 2 ustawy z dnia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11 września 2015 r. o działalności ubezpieczeniowej i reasekuracyjnej (Dz.U. poz. 1844 ze zm.,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Italic" w:hAnsi="PlayfairDisplay-Italic" w:cs="PlayfairDisplay-Italic"/>
          <w:i/>
          <w:iCs/>
          <w:color w:val="000000"/>
        </w:rPr>
        <w:t>dalej jako</w:t>
      </w:r>
      <w:r w:rsidRPr="00163DF0">
        <w:rPr>
          <w:rFonts w:ascii="PlayfairDisplay-Regular" w:hAnsi="PlayfairDisplay-Regular" w:cs="PlayfairDisplay-Regular"/>
          <w:color w:val="000000"/>
        </w:rPr>
        <w:t>: „ustawa”), nakładającej na zakład ubezpieczeń, w przypadku umowy ubezpieczenia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zawieranej na cudzy rachunek, obowiązek przekazania za pośrednictwem ubezpieczającego,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przed przystąpieniem osoby zainteresowanej do takiej umowy, wskazanych w tym przepisie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informacji, jak również uzupełnienie regulacji zawartej w art. 19 ustawy, w myśl którego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w umowie ubezpieczenia zawieranej na cudzy rachunek, w szczególności ubezpieczenia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grupowego, jeżeli konieczna jest zgoda ubezpieczonego na udzielenie ochrony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ubezpieczeniowej lub ubezpieczony zgadza się na finansowanie kosztu składki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ubezpieczeniowej, w przypadku niedoręczenia ubezpieczonemu warunków umowy przed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wyrażeniem takiej zgody, zakład ubezpieczeń nie może powoływać się na postanowienia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ograniczające lub wyłączające odpowiedzialność zakładu ubezpieczeń, a także przewidujące</w:t>
      </w:r>
    </w:p>
    <w:p w:rsidR="00163DF0" w:rsidRPr="00186EDB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skutki naruszeń powinności ubezpieczonego lub obciążające go obowiązkami.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lastRenderedPageBreak/>
        <w:t>Ponadto organ nadzoru sygnalizuje, że sytuacje, w których powszechnie wśród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klientów występuje rozczarowanie wysokością kwot wypłacanych z tytułu uszczerbków na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zdrowiu albo brakiem wypłaty w sytuacji, w której zdarzenie nie skutkowało powstaniem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trwałego uszczerbku na zdrowiu (jeżeli umowa ubezpieczenia uzależnia wypłatę świadczenia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przez ubezpieczyciela od wystąpienia trwałego uszczerbku), mogą być, niezależnie od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uzasadnienia parametrów ochrony ubezpieczeniowej wysokością składki ubezpieczeniowej,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Italic" w:hAnsi="PlayfairDisplay-Italic" w:cs="PlayfairDisplay-Italic"/>
          <w:i/>
          <w:iCs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 xml:space="preserve">kwalifikowane jako wada produktu w rozumieniu </w:t>
      </w:r>
      <w:r w:rsidRPr="00163DF0">
        <w:rPr>
          <w:rFonts w:ascii="PlayfairDisplay-Italic" w:hAnsi="PlayfairDisplay-Italic" w:cs="PlayfairDisplay-Italic"/>
          <w:i/>
          <w:iCs/>
          <w:color w:val="000000"/>
        </w:rPr>
        <w:t>Rekomendacji dla zakładów ubezpieczeń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Italic" w:hAnsi="PlayfairDisplay-Italic" w:cs="PlayfairDisplay-Italic"/>
          <w:i/>
          <w:iCs/>
          <w:color w:val="000000"/>
        </w:rPr>
        <w:t xml:space="preserve">dotyczących systemu zarządzania produktem </w:t>
      </w:r>
      <w:r w:rsidRPr="00163DF0">
        <w:rPr>
          <w:rFonts w:ascii="PlayfairDisplay-Regular" w:hAnsi="PlayfairDisplay-Regular" w:cs="PlayfairDisplay-Regular"/>
          <w:color w:val="000000"/>
        </w:rPr>
        <w:t>i mogą implikować potrzebę działań wskazanych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 xml:space="preserve">w pkt. 26.1 i następnych tychże </w:t>
      </w:r>
      <w:r w:rsidRPr="00163DF0">
        <w:rPr>
          <w:rFonts w:ascii="PlayfairDisplay-Italic" w:hAnsi="PlayfairDisplay-Italic" w:cs="PlayfairDisplay-Italic"/>
          <w:i/>
          <w:iCs/>
          <w:color w:val="000000"/>
        </w:rPr>
        <w:t>Rekomendacji</w:t>
      </w:r>
      <w:r w:rsidRPr="00163DF0">
        <w:rPr>
          <w:rFonts w:ascii="PlayfairDisplay-Regular" w:hAnsi="PlayfairDisplay-Regular" w:cs="PlayfairDisplay-Regular"/>
          <w:color w:val="000000"/>
        </w:rPr>
        <w:t>. Stan, w którym wysokość świadczeń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 ubezpieczenia NNW jest na minimalnym poziomie i nie stanowi w istocie realnie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odczuwanej rekompensaty za doznany ból, ograniczoną mobilność i inne negatywne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przeżycia oraz koszty związane z odzyskiwaniem zdrowia, świadczyć może o niedopasowaniu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oferty ubezpieczeniowej do potrzeb klientów.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W odniesieniu do kwestii związanych z oferowaniem wynagrodzeń lub korzyści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ubezpieczającym lub podmiotom działającym w ich imieniu lub na ich rzecz organ nadzoru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wskazuje, że na podstawie skarg wpływających do organu nadzoru oraz doniesień prasowych</w:t>
      </w:r>
      <w:r w:rsidR="00186EDB">
        <w:rPr>
          <w:rFonts w:ascii="PlayfairDisplay-Regular" w:hAnsi="PlayfairDisplay-Regular" w:cs="PlayfairDisplay-Regular"/>
          <w:color w:val="000000"/>
        </w:rPr>
        <w:t>.</w:t>
      </w:r>
    </w:p>
    <w:p w:rsidR="00163DF0" w:rsidRPr="00163DF0" w:rsidRDefault="00186EDB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>
        <w:rPr>
          <w:rFonts w:ascii="PlayfairDisplay-Regular" w:hAnsi="PlayfairDisplay-Regular" w:cs="PlayfairDisplay-Regular"/>
          <w:color w:val="000000"/>
        </w:rPr>
        <w:t>Z</w:t>
      </w:r>
      <w:r w:rsidR="00163DF0" w:rsidRPr="00163DF0">
        <w:rPr>
          <w:rFonts w:ascii="PlayfairDisplay-Regular" w:hAnsi="PlayfairDisplay-Regular" w:cs="PlayfairDisplay-Regular"/>
          <w:color w:val="000000"/>
        </w:rPr>
        <w:t>identyfikowano praktykę polegającą na tym, że w zamian za wybór przez szkołę lub radę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rodziców oferty ubezpieczenia NNW zakłady ubezpieczeń przekazują gratyfikację finansową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lub materialną ubezpieczającemu lub podmiotom działającym na rzecz lub w imieniu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ubezpieczającego (w szczególności dyrektorowi szkoły). Tymczasem, w świetle art. 18 ust. 1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zdanie 1 ustawy, w ubezpieczeniu na cudzy rachunek, w szczególności w ubezpieczeniu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grupowym, ubezpieczający nie może otrzymywać wynagrodzenia lub innych korzyści w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związku z oferowaniem możliwości skorzystania z ochrony ubezpieczeniowej lub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czynnościami związanymi z wykonywaniem umowy ubezpieczenia. Należy dodać, że zakaz,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o którym mowa w zdaniu poprzedzającym obejmuje również osoby działające na rzecz lub w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imieniu ubezpieczającego (art. 18 ust. 2 ustawy). Wyjątek od powyższych reguł dotyczy umów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ubezpieczenia grupowego, zawartych na rachunek pracowników lub osób wykonujących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pracę na podstawie umów cywilnoprawnych oraz członków ich rodzin, a także umów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zawartych na rachunek członków stowarzyszeń, samorządów zawodowych lub związków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zawodowych (art. 18 ust. 3 ustawy). Zakaz ten nie wyklucza jednak możliwości zobowiązania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się przez ubezpieczonego wobec ubezpieczającego do finansowania kosztu składki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ubezpieczeniowej (art. 18 ust. 1 zdanie 2 ustawy). Powołany przepis nie określa wprost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adresata normy prawnej w nim zawartej. W ocenie organu nadzoru jest on skierowany nie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tylko do ubezpieczających (i podmiotów działających w ich imieniu lub na ich rzecz), ale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przede wszystkim ustanawia zakaz wypłaty wynagrodzeń i udzielania innych korzyści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w stosunku do każdego, kto potencjalnie zamierzałby przyjąć na siebie zobowiązania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 xml:space="preserve">umowne w tym zakresie. </w:t>
      </w:r>
      <w:r w:rsidRPr="00156DD2">
        <w:rPr>
          <w:rFonts w:ascii="PlayfairDisplay-Regular" w:hAnsi="PlayfairDisplay-Regular" w:cs="PlayfairDisplay-Regular"/>
          <w:b/>
          <w:color w:val="000000"/>
        </w:rPr>
        <w:t>W sposób szczególny dotyczy to zakładów ubezpieczeń, gdyż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zgodnie z art. 1 ust. 1 pkt 1 ustawy określa ona warunki wykonywania działalności w zakresie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ubezpieczeń osobowych i ubezpieczeń majątkowych, a zatem kształtuje zasady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funkcjonowania zakładów ubezpieczeń. Skutkiem powyższego jest konkluzja, że art. 18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ustawy przewiduje zakaz skierowany m. in. do zakładów ubezpieczeń dotyczący wypłacania</w:t>
      </w:r>
    </w:p>
    <w:p w:rsidR="00163DF0" w:rsidRPr="00156DD2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wynagrodzeń i udzielania innych korzyści w sytuacjach określonych w tym przepisie.</w:t>
      </w:r>
    </w:p>
    <w:p w:rsidR="00156DD2" w:rsidRPr="00156DD2" w:rsidRDefault="00163DF0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W ocenie organu</w:t>
      </w:r>
      <w:r w:rsidR="00156DD2" w:rsidRPr="00156DD2">
        <w:rPr>
          <w:rFonts w:ascii="PlayfairDisplay-Regular" w:hAnsi="PlayfairDisplay-Regular" w:cs="PlayfairDisplay-Regular"/>
          <w:b/>
          <w:color w:val="000000"/>
        </w:rPr>
        <w:t xml:space="preserve"> krajowego </w:t>
      </w:r>
      <w:r w:rsidRPr="00156DD2">
        <w:rPr>
          <w:rFonts w:ascii="PlayfairDisplay-Regular" w:hAnsi="PlayfairDisplay-Regular" w:cs="PlayfairDisplay-Regular"/>
          <w:b/>
          <w:color w:val="000000"/>
        </w:rPr>
        <w:t xml:space="preserve"> nadzoru</w:t>
      </w:r>
      <w:r w:rsidR="00186EDB" w:rsidRPr="00156DD2">
        <w:rPr>
          <w:rFonts w:ascii="PlayfairDisplay-Regular" w:hAnsi="PlayfairDisplay-Regular" w:cs="PlayfairDisplay-Regular"/>
          <w:b/>
          <w:color w:val="000000"/>
        </w:rPr>
        <w:t xml:space="preserve"> finansowego</w:t>
      </w:r>
      <w:r w:rsidRPr="00156DD2">
        <w:rPr>
          <w:rFonts w:ascii="PlayfairDisplay-Regular" w:hAnsi="PlayfairDisplay-Regular" w:cs="PlayfairDisplay-Regular"/>
          <w:b/>
          <w:color w:val="000000"/>
        </w:rPr>
        <w:t xml:space="preserve"> sytuacja, w której ubezpieczający w ubezpieczeniu</w:t>
      </w:r>
      <w:r w:rsidR="00156DD2" w:rsidRPr="00156DD2">
        <w:rPr>
          <w:rFonts w:ascii="PlayfairDisplay-Regular" w:hAnsi="PlayfairDisplay-Regular" w:cs="PlayfairDisplay-Regular"/>
          <w:b/>
          <w:color w:val="000000"/>
        </w:rPr>
        <w:t xml:space="preserve"> grupowym NNW, w zamian za zawarcie umowy ubezpieczenia (skorzystanie z oferty danego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zakładu ubezpieczeń i stwarzanie warunków do przystąpienia do ubezpieczenia.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ubezpieczonych) otrzymuje wynagrodzenie lub inne korzyści zwykle w obrocie przewidziane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lastRenderedPageBreak/>
        <w:t>dla pośredników ubezpieczeniowych, niezależnie od tego, że stanowi naruszenie art. 18 ust.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1 lub 2 ustawy, może stanowić konflikt interesów przejawiający się w przedkładaniu korzyści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własnych ubezpieczającego nad interes ubezpieczonych. Konflikt interesów może się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przejawiać m. in. w tym, że ubezpieczający będzie skłonny zawrzeć umowę ubezpieczenia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z zakładem ubezpieczeń oferującym - wbrew ww. przepisowi - wynagrodzenie, pomimo, że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ubezpieczenie nie będzie optymalne z punktu widzenia ubezpieczonych. To samo dotyczy</w:t>
      </w:r>
    </w:p>
    <w:p w:rsidR="00156DD2" w:rsidRPr="00156DD2" w:rsidRDefault="00156DD2" w:rsidP="00156DD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innego podmiotu, który należy zakwalifikować jako działający w imieniu lub na rzecz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</w:p>
    <w:p w:rsidR="006D0B17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b/>
          <w:color w:val="000000"/>
        </w:rPr>
      </w:pPr>
      <w:r w:rsidRPr="00156DD2">
        <w:rPr>
          <w:rFonts w:ascii="PlayfairDisplay-Regular" w:hAnsi="PlayfairDisplay-Regular" w:cs="PlayfairDisplay-Regular"/>
          <w:b/>
          <w:color w:val="000000"/>
        </w:rPr>
        <w:t>ubezpieczającego, np. rady rodziców czy dyrektora szkoły</w:t>
      </w:r>
      <w:r w:rsidR="006D0B17">
        <w:rPr>
          <w:rFonts w:ascii="PlayfairDisplay-Regular" w:hAnsi="PlayfairDisplay-Regular" w:cs="PlayfairDisplay-Regular"/>
          <w:b/>
          <w:color w:val="000000"/>
        </w:rPr>
        <w:t xml:space="preserve"> </w:t>
      </w:r>
      <w:r w:rsidRPr="00156DD2">
        <w:rPr>
          <w:rFonts w:ascii="PlayfairDisplay-Regular" w:hAnsi="PlayfairDisplay-Regular" w:cs="PlayfairDisplay-Regular"/>
          <w:b/>
          <w:color w:val="000000"/>
        </w:rPr>
        <w:t>.</w:t>
      </w:r>
      <w:r w:rsidR="006D0B17">
        <w:rPr>
          <w:rFonts w:ascii="PlayfairDisplay-Regular" w:hAnsi="PlayfairDisplay-Regular" w:cs="PlayfairDisplay-Regular"/>
          <w:b/>
          <w:color w:val="000000"/>
        </w:rPr>
        <w:t xml:space="preserve">W przypadku oferty ubezpieczeń grupowych jak np. NNW młodzież szkolna najważniejszy jest przedstawiany zakres ubezpieczenia ( zakres świadczeń )  ,  który to , w  żaden sposób nie może być pominięty kosztem </w:t>
      </w:r>
      <w:r w:rsidR="003927C6">
        <w:rPr>
          <w:rFonts w:ascii="PlayfairDisplay-Regular" w:hAnsi="PlayfairDisplay-Regular" w:cs="PlayfairDisplay-Regular"/>
          <w:b/>
          <w:color w:val="000000"/>
        </w:rPr>
        <w:t xml:space="preserve"> przyjęcia </w:t>
      </w:r>
      <w:r w:rsidR="006D0B17">
        <w:rPr>
          <w:rFonts w:ascii="PlayfairDisplay-Regular" w:hAnsi="PlayfairDisplay-Regular" w:cs="PlayfairDisplay-Regular"/>
          <w:b/>
          <w:color w:val="000000"/>
        </w:rPr>
        <w:t xml:space="preserve">korzyści </w:t>
      </w:r>
      <w:r w:rsidR="003927C6">
        <w:rPr>
          <w:rFonts w:ascii="PlayfairDisplay-Regular" w:hAnsi="PlayfairDisplay-Regular" w:cs="PlayfairDisplay-Regular"/>
          <w:b/>
          <w:color w:val="000000"/>
        </w:rPr>
        <w:t xml:space="preserve"> </w:t>
      </w:r>
      <w:r w:rsidR="006D0B17">
        <w:rPr>
          <w:rFonts w:ascii="PlayfairDisplay-Regular" w:hAnsi="PlayfairDisplay-Regular" w:cs="PlayfairDisplay-Regular"/>
          <w:b/>
          <w:color w:val="000000"/>
        </w:rPr>
        <w:t>material</w:t>
      </w:r>
      <w:r w:rsidR="003927C6">
        <w:rPr>
          <w:rFonts w:ascii="PlayfairDisplay-Regular" w:hAnsi="PlayfairDisplay-Regular" w:cs="PlayfairDisplay-Regular"/>
          <w:b/>
          <w:color w:val="000000"/>
        </w:rPr>
        <w:t xml:space="preserve">nych  czy to ze strony rodziców , czy placówki </w:t>
      </w:r>
      <w:r w:rsidR="006D0B17">
        <w:rPr>
          <w:rFonts w:ascii="PlayfairDisplay-Regular" w:hAnsi="PlayfairDisplay-Regular" w:cs="PlayfairDisplay-Regular"/>
          <w:b/>
          <w:color w:val="000000"/>
        </w:rPr>
        <w:t xml:space="preserve">                     </w:t>
      </w:r>
    </w:p>
    <w:p w:rsidR="00163DF0" w:rsidRPr="00163DF0" w:rsidRDefault="006D0B17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>
        <w:rPr>
          <w:rFonts w:ascii="PlayfairDisplay-Regular" w:hAnsi="PlayfairDisplay-Regular" w:cs="PlayfairDisplay-Regular"/>
          <w:b/>
          <w:color w:val="000000"/>
        </w:rPr>
        <w:t xml:space="preserve">  </w:t>
      </w:r>
      <w:r w:rsidR="00163DF0" w:rsidRPr="00163DF0">
        <w:rPr>
          <w:rFonts w:ascii="PlayfairDisplay-Regular" w:hAnsi="PlayfairDisplay-Regular" w:cs="PlayfairDisplay-Regular"/>
          <w:color w:val="000000"/>
        </w:rPr>
        <w:t xml:space="preserve"> Należy odnotować, że kwestie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dotyczące konfliktu interesów, wynikającego z jednoczesnego występowania jako</w:t>
      </w: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>ubezpieczający i pośrednik ubezpieczeniowy oraz z wynagradzania ubezpieczającego, przed</w:t>
      </w:r>
    </w:p>
    <w:p w:rsidR="00186EDB" w:rsidRDefault="00163DF0" w:rsidP="00186EDB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 w:rsidRPr="00163DF0">
        <w:rPr>
          <w:rFonts w:ascii="PlayfairDisplay-Regular" w:hAnsi="PlayfairDisplay-Regular" w:cs="PlayfairDisplay-Regular"/>
          <w:color w:val="000000"/>
        </w:rPr>
        <w:t xml:space="preserve">wejściem w życie ustawy były przedmiotem ocen nadzorczych wyrażonych w </w:t>
      </w:r>
      <w:r w:rsidR="00186EDB">
        <w:rPr>
          <w:rFonts w:ascii="PlayfairDisplay-Italic" w:hAnsi="PlayfairDisplay-Italic" w:cs="PlayfairDisplay-Italic"/>
          <w:i/>
          <w:iCs/>
          <w:color w:val="000000"/>
        </w:rPr>
        <w:t>w</w:t>
      </w:r>
      <w:r w:rsidRPr="00163DF0">
        <w:rPr>
          <w:rFonts w:ascii="PlayfairDisplay-Italic" w:hAnsi="PlayfairDisplay-Italic" w:cs="PlayfairDisplay-Italic"/>
          <w:i/>
          <w:iCs/>
          <w:color w:val="000000"/>
        </w:rPr>
        <w:t>ytycznych dla</w:t>
      </w:r>
      <w:r w:rsidR="00186EDB">
        <w:rPr>
          <w:rFonts w:ascii="PlayfairDisplay-Italic" w:hAnsi="PlayfairDisplay-Italic" w:cs="PlayfairDisplay-Italic"/>
          <w:i/>
          <w:iCs/>
          <w:color w:val="000000"/>
        </w:rPr>
        <w:t xml:space="preserve">  </w:t>
      </w:r>
      <w:r w:rsidR="00186EDB" w:rsidRPr="00163DF0">
        <w:rPr>
          <w:rFonts w:ascii="PlayfairDisplay-Italic" w:hAnsi="PlayfairDisplay-Italic" w:cs="PlayfairDisplay-Italic"/>
          <w:i/>
          <w:iCs/>
          <w:color w:val="000000"/>
        </w:rPr>
        <w:t>zakładów ubezpieczeń dotyczących dystrybucji ubezpieczeń</w:t>
      </w:r>
      <w:r w:rsidR="00186EDB" w:rsidRPr="00163DF0">
        <w:rPr>
          <w:rFonts w:ascii="PlayfairDisplay-Regular" w:hAnsi="PlayfairDisplay-Regular" w:cs="PlayfairDisplay-Regular"/>
          <w:color w:val="000000"/>
        </w:rPr>
        <w:t>.</w:t>
      </w:r>
    </w:p>
    <w:p w:rsidR="006D0B17" w:rsidRDefault="006D0B17" w:rsidP="00186EDB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</w:p>
    <w:p w:rsidR="00163DF0" w:rsidRPr="00163DF0" w:rsidRDefault="00163DF0" w:rsidP="00163DF0">
      <w:pPr>
        <w:autoSpaceDE w:val="0"/>
        <w:autoSpaceDN w:val="0"/>
        <w:adjustRightInd w:val="0"/>
        <w:spacing w:after="0" w:line="240" w:lineRule="auto"/>
        <w:rPr>
          <w:rFonts w:ascii="PlayfairDisplay-Italic" w:hAnsi="PlayfairDisplay-Italic" w:cs="PlayfairDisplay-Italic"/>
          <w:i/>
          <w:iCs/>
          <w:color w:val="000000"/>
        </w:rPr>
      </w:pPr>
    </w:p>
    <w:p w:rsidR="00186EDB" w:rsidRDefault="00186EDB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</w:p>
    <w:p w:rsidR="00186EDB" w:rsidRDefault="00186EDB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</w:p>
    <w:p w:rsidR="00186EDB" w:rsidRDefault="00186EDB" w:rsidP="00163DF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</w:p>
    <w:p w:rsidR="00672A23" w:rsidRPr="00186EDB" w:rsidRDefault="00F55FE6" w:rsidP="00186EDB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</w:rPr>
      </w:pPr>
      <w:r>
        <w:t xml:space="preserve"> </w:t>
      </w:r>
    </w:p>
    <w:sectPr w:rsidR="00672A23" w:rsidRPr="00186EDB" w:rsidSect="0067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Display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ropoli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layfairDisplay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layfairDisplay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0698"/>
    <w:multiLevelType w:val="hybridMultilevel"/>
    <w:tmpl w:val="4F34CC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E6"/>
    <w:rsid w:val="00156DD2"/>
    <w:rsid w:val="00163DF0"/>
    <w:rsid w:val="00186EDB"/>
    <w:rsid w:val="002A1586"/>
    <w:rsid w:val="00334FC8"/>
    <w:rsid w:val="003927C6"/>
    <w:rsid w:val="00552BDE"/>
    <w:rsid w:val="00672A23"/>
    <w:rsid w:val="006D0B17"/>
    <w:rsid w:val="00C0698C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Sp19asus</cp:lastModifiedBy>
  <cp:revision>2</cp:revision>
  <cp:lastPrinted>2018-05-16T08:03:00Z</cp:lastPrinted>
  <dcterms:created xsi:type="dcterms:W3CDTF">2018-09-12T18:03:00Z</dcterms:created>
  <dcterms:modified xsi:type="dcterms:W3CDTF">2018-09-12T18:03:00Z</dcterms:modified>
</cp:coreProperties>
</file>