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E6" w:rsidRPr="006F638E" w:rsidRDefault="003F2BE6" w:rsidP="006F638E">
      <w:pPr>
        <w:pStyle w:val="Nadpis3"/>
      </w:pPr>
      <w:r w:rsidRPr="006F638E">
        <w:t xml:space="preserve">Plán koordinátora </w:t>
      </w:r>
      <w:r w:rsidR="00F8201D" w:rsidRPr="006F638E">
        <w:t>žiackej školskej rady</w:t>
      </w:r>
    </w:p>
    <w:p w:rsidR="003F2BE6" w:rsidRPr="00A16D09" w:rsidRDefault="003F2BE6" w:rsidP="003F2BE6">
      <w:pPr>
        <w:pStyle w:val="Odsekzoznamu"/>
        <w:ind w:firstLine="0"/>
        <w:rPr>
          <w:b/>
          <w:i/>
        </w:rPr>
      </w:pPr>
      <w:r w:rsidRPr="00A16D09">
        <w:rPr>
          <w:b/>
          <w:i/>
        </w:rPr>
        <w:t xml:space="preserve">Koordinátor : </w:t>
      </w:r>
      <w:r>
        <w:rPr>
          <w:b/>
          <w:i/>
        </w:rPr>
        <w:t>Ing. Ľudmila Petergáčová</w:t>
      </w:r>
    </w:p>
    <w:p w:rsidR="003F2BE6" w:rsidRPr="00F8201D" w:rsidRDefault="003F2BE6" w:rsidP="003F2BE6">
      <w:pPr>
        <w:outlineLvl w:val="0"/>
        <w:rPr>
          <w:rFonts w:asciiTheme="majorHAnsi" w:hAnsiTheme="majorHAnsi"/>
          <w:b/>
        </w:rPr>
      </w:pPr>
      <w:r w:rsidRPr="00F8201D">
        <w:rPr>
          <w:rFonts w:asciiTheme="majorHAnsi" w:hAnsiTheme="majorHAnsi"/>
          <w:b/>
        </w:rPr>
        <w:t xml:space="preserve">Štatút </w:t>
      </w:r>
      <w:r w:rsidR="00F8201D" w:rsidRPr="00F8201D">
        <w:rPr>
          <w:rFonts w:asciiTheme="majorHAnsi" w:hAnsiTheme="majorHAnsi"/>
          <w:b/>
        </w:rPr>
        <w:t>žiackej školskej rady</w:t>
      </w:r>
    </w:p>
    <w:p w:rsidR="003F2BE6" w:rsidRPr="00F8201D" w:rsidRDefault="00AD57F0" w:rsidP="00F8201D">
      <w:pPr>
        <w:numPr>
          <w:ilvl w:val="0"/>
          <w:numId w:val="4"/>
        </w:numPr>
        <w:autoSpaceDN w:val="0"/>
        <w:spacing w:before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Žiacka školská rada</w:t>
      </w:r>
      <w:r w:rsidR="003F2BE6" w:rsidRPr="00F8201D">
        <w:rPr>
          <w:rFonts w:asciiTheme="majorHAnsi" w:hAnsiTheme="majorHAnsi"/>
        </w:rPr>
        <w:t xml:space="preserve"> je iniciatívnym a pomocným orgánom, vyjadrujúc</w:t>
      </w:r>
      <w:r>
        <w:rPr>
          <w:rFonts w:asciiTheme="majorHAnsi" w:hAnsiTheme="majorHAnsi"/>
        </w:rPr>
        <w:t>a</w:t>
      </w:r>
      <w:r w:rsidR="003F2BE6" w:rsidRPr="00F8201D">
        <w:rPr>
          <w:rFonts w:asciiTheme="majorHAnsi" w:hAnsiTheme="majorHAnsi"/>
        </w:rPr>
        <w:t xml:space="preserve"> záujmy žiakov v oblasti výchovy a vzdelávania na základnej škole.</w:t>
      </w:r>
    </w:p>
    <w:p w:rsidR="00F8201D" w:rsidRPr="00F8201D" w:rsidRDefault="00F8201D" w:rsidP="00F8201D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Žiacka rada má v základnej škole má 5 až 9 členov a tvoria ju tí žiaci piateho až deviateho ročníka, ktorí vo voľbách získali najvyšší počet hlasov žiakov zúčastnených na voľbách.</w:t>
      </w:r>
    </w:p>
    <w:p w:rsidR="00F8201D" w:rsidRPr="00F8201D" w:rsidRDefault="00F8201D" w:rsidP="00F8201D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Funkčné obdobie žiackej rady v základnej škole je do konca školského roku, v ktorom sa uskutočnili voľby.</w:t>
      </w:r>
    </w:p>
    <w:p w:rsidR="003F2BE6" w:rsidRDefault="00F8201D" w:rsidP="00F8201D">
      <w:pPr>
        <w:numPr>
          <w:ilvl w:val="0"/>
          <w:numId w:val="4"/>
        </w:numPr>
        <w:autoSpaceDN w:val="0"/>
        <w:spacing w:before="0" w:line="240" w:lineRule="auto"/>
        <w:outlineLvl w:val="0"/>
        <w:rPr>
          <w:rFonts w:asciiTheme="majorHAnsi" w:hAnsiTheme="majorHAnsi"/>
        </w:rPr>
      </w:pPr>
      <w:r w:rsidRPr="00F8201D">
        <w:rPr>
          <w:rFonts w:asciiTheme="majorHAnsi" w:hAnsiTheme="majorHAnsi"/>
        </w:rPr>
        <w:t xml:space="preserve">Žiacka školská rada </w:t>
      </w:r>
      <w:r w:rsidR="003F2BE6" w:rsidRPr="00F8201D">
        <w:rPr>
          <w:rFonts w:asciiTheme="majorHAnsi" w:hAnsiTheme="majorHAnsi"/>
        </w:rPr>
        <w:t xml:space="preserve"> je schopn</w:t>
      </w:r>
      <w:r w:rsidR="00AD57F0">
        <w:rPr>
          <w:rFonts w:asciiTheme="majorHAnsi" w:hAnsiTheme="majorHAnsi"/>
        </w:rPr>
        <w:t>á</w:t>
      </w:r>
      <w:r w:rsidR="003F2BE6" w:rsidRPr="00F8201D">
        <w:rPr>
          <w:rFonts w:asciiTheme="majorHAnsi" w:hAnsiTheme="majorHAnsi"/>
        </w:rPr>
        <w:t xml:space="preserve"> uznášať sa, ak je prítomná nadpolovičná väčšina jeho členov.</w:t>
      </w:r>
    </w:p>
    <w:p w:rsidR="006F638E" w:rsidRPr="00F8201D" w:rsidRDefault="006F638E" w:rsidP="006F638E">
      <w:pPr>
        <w:autoSpaceDN w:val="0"/>
        <w:spacing w:before="0" w:line="240" w:lineRule="auto"/>
        <w:outlineLvl w:val="0"/>
        <w:rPr>
          <w:rFonts w:asciiTheme="majorHAnsi" w:hAnsiTheme="majorHAnsi"/>
        </w:rPr>
      </w:pPr>
    </w:p>
    <w:p w:rsidR="003F2BE6" w:rsidRPr="00F8201D" w:rsidRDefault="00F8201D" w:rsidP="00F8201D">
      <w:pPr>
        <w:numPr>
          <w:ilvl w:val="0"/>
          <w:numId w:val="4"/>
        </w:numPr>
        <w:autoSpaceDN w:val="0"/>
        <w:spacing w:before="0" w:line="240" w:lineRule="auto"/>
        <w:outlineLvl w:val="0"/>
        <w:rPr>
          <w:rFonts w:asciiTheme="majorHAnsi" w:hAnsiTheme="majorHAnsi"/>
        </w:rPr>
      </w:pPr>
      <w:r w:rsidRPr="00F8201D">
        <w:rPr>
          <w:rFonts w:asciiTheme="majorHAnsi" w:hAnsiTheme="majorHAnsi"/>
        </w:rPr>
        <w:t xml:space="preserve">Žiacka školská rada  </w:t>
      </w:r>
      <w:r w:rsidR="003F2BE6" w:rsidRPr="00F8201D">
        <w:rPr>
          <w:rFonts w:asciiTheme="majorHAnsi" w:hAnsiTheme="majorHAnsi"/>
        </w:rPr>
        <w:t xml:space="preserve">sa schádza spravidla </w:t>
      </w:r>
      <w:r w:rsidRPr="00F8201D">
        <w:rPr>
          <w:rFonts w:asciiTheme="majorHAnsi" w:hAnsiTheme="majorHAnsi"/>
        </w:rPr>
        <w:t>raz</w:t>
      </w:r>
      <w:r w:rsidR="003F2BE6" w:rsidRPr="00F8201D">
        <w:rPr>
          <w:rFonts w:asciiTheme="majorHAnsi" w:hAnsiTheme="majorHAnsi"/>
        </w:rPr>
        <w:t xml:space="preserve"> v mesiaci. Zasadnutie zvoláva učiteľ- koordinátor práce </w:t>
      </w:r>
      <w:r w:rsidRPr="00F8201D">
        <w:rPr>
          <w:rFonts w:asciiTheme="majorHAnsi" w:hAnsiTheme="majorHAnsi"/>
        </w:rPr>
        <w:t xml:space="preserve">ŽŠR </w:t>
      </w:r>
      <w:r w:rsidR="003F2BE6" w:rsidRPr="00F8201D">
        <w:rPr>
          <w:rFonts w:asciiTheme="majorHAnsi" w:hAnsiTheme="majorHAnsi"/>
        </w:rPr>
        <w:t xml:space="preserve">, prípadne predseda </w:t>
      </w:r>
      <w:r w:rsidRPr="00F8201D">
        <w:rPr>
          <w:rFonts w:asciiTheme="majorHAnsi" w:hAnsiTheme="majorHAnsi"/>
        </w:rPr>
        <w:t>ŽŠR</w:t>
      </w:r>
      <w:r w:rsidR="003F2BE6" w:rsidRPr="00F8201D">
        <w:rPr>
          <w:rFonts w:asciiTheme="majorHAnsi" w:hAnsiTheme="majorHAnsi"/>
        </w:rPr>
        <w:t>.</w:t>
      </w:r>
    </w:p>
    <w:p w:rsidR="003F2BE6" w:rsidRPr="00F8201D" w:rsidRDefault="003F2BE6" w:rsidP="00F8201D">
      <w:pPr>
        <w:pStyle w:val="Odsekzoznamu"/>
        <w:numPr>
          <w:ilvl w:val="0"/>
          <w:numId w:val="4"/>
        </w:numPr>
        <w:spacing w:line="240" w:lineRule="auto"/>
        <w:outlineLvl w:val="0"/>
        <w:rPr>
          <w:rFonts w:asciiTheme="majorHAnsi" w:hAnsiTheme="majorHAnsi"/>
        </w:rPr>
      </w:pPr>
      <w:r w:rsidRPr="00F8201D">
        <w:rPr>
          <w:rFonts w:asciiTheme="majorHAnsi" w:hAnsiTheme="majorHAnsi"/>
        </w:rPr>
        <w:t xml:space="preserve"> Z každého zasadnutia bude spísaná zápisnica, ktorá obsahuje : 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dátum zasadnutia,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menný zoznam prítomných členov,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program zasadnutia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prerokované problémy, návrhy, pripomienky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diskusné príspevky</w:t>
      </w:r>
    </w:p>
    <w:p w:rsidR="003F2BE6" w:rsidRPr="00F8201D" w:rsidRDefault="003F2BE6" w:rsidP="00F8201D">
      <w:pPr>
        <w:pStyle w:val="Bezriadkovania"/>
        <w:numPr>
          <w:ilvl w:val="1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závery</w:t>
      </w:r>
    </w:p>
    <w:p w:rsidR="003F2BE6" w:rsidRPr="00F8201D" w:rsidRDefault="003F2BE6" w:rsidP="00F8201D">
      <w:pPr>
        <w:pStyle w:val="Odsekzoznamu"/>
        <w:numPr>
          <w:ilvl w:val="0"/>
          <w:numId w:val="4"/>
        </w:numPr>
        <w:outlineLvl w:val="0"/>
        <w:rPr>
          <w:rFonts w:asciiTheme="majorHAnsi" w:hAnsiTheme="majorHAnsi"/>
        </w:rPr>
      </w:pPr>
      <w:r w:rsidRPr="00F8201D">
        <w:rPr>
          <w:rFonts w:asciiTheme="majorHAnsi" w:hAnsiTheme="majorHAnsi"/>
        </w:rPr>
        <w:t>Na zmenu alebo doplnenie štatútu je potrebný súhlas aspoň trojpätinovej väčšiny všetkých členov  parlamentu.</w:t>
      </w:r>
    </w:p>
    <w:p w:rsidR="00F8201D" w:rsidRPr="00F8201D" w:rsidRDefault="00F8201D" w:rsidP="00F8201D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F8201D">
        <w:rPr>
          <w:rFonts w:asciiTheme="majorHAnsi" w:hAnsiTheme="majorHAnsi"/>
        </w:rPr>
        <w:t>O voľbách žiaci vyhotovia zápisnicu a predložia ju riaditeľovi školy. Na základnej škole zápisnicu vyhotoví výchovný poradca.</w:t>
      </w:r>
    </w:p>
    <w:p w:rsidR="00F8201D" w:rsidRDefault="00F8201D" w:rsidP="003F2BE6">
      <w:pPr>
        <w:ind w:left="360"/>
        <w:outlineLvl w:val="0"/>
        <w:rPr>
          <w:sz w:val="22"/>
          <w:szCs w:val="22"/>
        </w:rPr>
      </w:pPr>
    </w:p>
    <w:p w:rsidR="006F638E" w:rsidRDefault="006F638E" w:rsidP="003F2BE6">
      <w:pPr>
        <w:ind w:left="360"/>
        <w:outlineLvl w:val="0"/>
        <w:rPr>
          <w:sz w:val="22"/>
          <w:szCs w:val="22"/>
        </w:rPr>
      </w:pPr>
    </w:p>
    <w:p w:rsidR="006F638E" w:rsidRDefault="006F638E" w:rsidP="003F2BE6">
      <w:pPr>
        <w:ind w:left="360"/>
        <w:outlineLvl w:val="0"/>
        <w:rPr>
          <w:sz w:val="22"/>
          <w:szCs w:val="22"/>
        </w:rPr>
      </w:pPr>
    </w:p>
    <w:p w:rsidR="006F638E" w:rsidRDefault="006F638E" w:rsidP="003F2BE6">
      <w:pPr>
        <w:ind w:left="360"/>
        <w:outlineLvl w:val="0"/>
        <w:rPr>
          <w:sz w:val="22"/>
          <w:szCs w:val="22"/>
        </w:rPr>
      </w:pPr>
    </w:p>
    <w:p w:rsidR="006F638E" w:rsidRDefault="006F638E" w:rsidP="003F2BE6">
      <w:pPr>
        <w:ind w:left="360"/>
        <w:outlineLvl w:val="0"/>
        <w:rPr>
          <w:sz w:val="22"/>
          <w:szCs w:val="22"/>
        </w:rPr>
      </w:pPr>
    </w:p>
    <w:p w:rsidR="006F638E" w:rsidRDefault="006F638E" w:rsidP="003F2BE6">
      <w:pPr>
        <w:ind w:left="360"/>
        <w:outlineLvl w:val="0"/>
        <w:rPr>
          <w:sz w:val="22"/>
          <w:szCs w:val="22"/>
        </w:rPr>
      </w:pPr>
    </w:p>
    <w:p w:rsidR="006F638E" w:rsidRPr="00F8201D" w:rsidRDefault="006F638E" w:rsidP="003F2BE6">
      <w:pPr>
        <w:ind w:left="360"/>
        <w:outlineLvl w:val="0"/>
        <w:rPr>
          <w:sz w:val="22"/>
          <w:szCs w:val="22"/>
        </w:rPr>
      </w:pPr>
    </w:p>
    <w:p w:rsidR="003F2BE6" w:rsidRPr="00DC6ABA" w:rsidRDefault="003F2BE6" w:rsidP="003F2BE6">
      <w:pPr>
        <w:ind w:left="360"/>
        <w:outlineLvl w:val="0"/>
        <w:rPr>
          <w:b/>
        </w:rPr>
      </w:pPr>
      <w:r w:rsidRPr="00DC6ABA">
        <w:rPr>
          <w:b/>
        </w:rPr>
        <w:t>Hlavné úlohy</w:t>
      </w:r>
      <w:r>
        <w:rPr>
          <w:b/>
        </w:rPr>
        <w:t xml:space="preserve"> a ciele </w:t>
      </w:r>
      <w:r w:rsidR="00F8201D">
        <w:rPr>
          <w:b/>
        </w:rPr>
        <w:t xml:space="preserve">ŽŠR </w:t>
      </w:r>
      <w:r>
        <w:rPr>
          <w:b/>
        </w:rPr>
        <w:t xml:space="preserve"> v školskom roku 201</w:t>
      </w:r>
      <w:r w:rsidR="009F0BBA">
        <w:rPr>
          <w:b/>
        </w:rPr>
        <w:t>7</w:t>
      </w:r>
      <w:r>
        <w:rPr>
          <w:b/>
        </w:rPr>
        <w:t>/201</w:t>
      </w:r>
      <w:r w:rsidR="009F0BBA">
        <w:rPr>
          <w:b/>
        </w:rPr>
        <w:t>8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 xml:space="preserve">Viesť pravidelné stretnutia </w:t>
      </w:r>
      <w:r w:rsidR="00F8201D">
        <w:t>raz</w:t>
      </w:r>
      <w:r w:rsidRPr="00DC6ABA">
        <w:t xml:space="preserve"> mesačne, resp. </w:t>
      </w:r>
      <w:r w:rsidR="00F8201D">
        <w:t>prvý pondelok v mesiaci</w:t>
      </w:r>
      <w:r w:rsidRPr="00DC6ABA">
        <w:t>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Viesť dokumentáciu školského parlamentu.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Organizovať podujatia, akcie, súťaže pre všetkých žiakov základnej školy.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Informovať o svojej činnosti prostredníctvom nástenných novín a školského rozhlasu.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Viesť žiakov k uvedomovaniu si svojich práv  a povinností.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 xml:space="preserve">Vytvárať u žiakov vzťah k čistote a estetike, zapájať triedne kolektívy do </w:t>
      </w:r>
      <w:proofErr w:type="spellStart"/>
      <w:r w:rsidRPr="00DC6ABA">
        <w:t>estetizácie</w:t>
      </w:r>
      <w:proofErr w:type="spellEnd"/>
      <w:r w:rsidRPr="00DC6ABA">
        <w:t xml:space="preserve"> interiéru tried a školy, budovy školy, areálu školy a jej blízkeho okolia.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Rešpektovať a uplatňovať námety, názory a aktivitu žiakov, prostredníctvom ŠP spolupracovať s vedením základnej školy.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So zástupcami jednotlivých tried viesť rozhovory o výchove a vzdelávaní, spolupracovať s výchovným poradcom a špeciálnym pedagógom.</w:t>
      </w:r>
    </w:p>
    <w:p w:rsidR="003F2BE6" w:rsidRPr="00DC6ABA" w:rsidRDefault="003F2BE6" w:rsidP="003F2BE6">
      <w:pPr>
        <w:numPr>
          <w:ilvl w:val="0"/>
          <w:numId w:val="2"/>
        </w:numPr>
        <w:autoSpaceDN w:val="0"/>
        <w:spacing w:before="0"/>
        <w:outlineLvl w:val="0"/>
      </w:pPr>
      <w:r w:rsidRPr="00DC6ABA">
        <w:t>Počas celého školského roka viesť žiakov k dodržiavaniu školského poriadku, základných hygienických návykov, k zdravej výžive, k výchove proti rasizmu, xenofóbii, šikanovaniu. Aktívne propagovať výchovu k národnej uvedomelosti a hrdosti, k manželstvu a rodičovstvu, k ochrane majetku školy, k telesnej zdatnosti, vzájomnej tolerancii a úcte.</w:t>
      </w:r>
    </w:p>
    <w:p w:rsidR="003F2BE6" w:rsidRDefault="003F2BE6" w:rsidP="003F2BE6">
      <w:pPr>
        <w:numPr>
          <w:ilvl w:val="0"/>
          <w:numId w:val="2"/>
        </w:num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rPr>
          <w:color w:val="000000"/>
        </w:rPr>
      </w:pPr>
      <w:r w:rsidRPr="00DC6ABA">
        <w:rPr>
          <w:color w:val="000000"/>
        </w:rPr>
        <w:t xml:space="preserve">Vyzdvihovať kladné ľudské vlastnosti v medziľudských vzťahoch: znášanlivosť, čestnosť, priateľstvo, úctivý vzťah k starším ľuďom, vyzdvihovať príkladne vzorných jednotlivcov pochvalami, poukázať na negatívne vlastnosti. </w:t>
      </w:r>
    </w:p>
    <w:p w:rsidR="003F2BE6" w:rsidRDefault="003F2BE6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6F638E" w:rsidRPr="001C2637" w:rsidRDefault="006F638E" w:rsidP="003F2BE6">
      <w:pPr>
        <w:shd w:val="clear" w:color="auto" w:fill="FFFFFF"/>
        <w:tabs>
          <w:tab w:val="left" w:pos="1080"/>
          <w:tab w:val="left" w:pos="5700"/>
        </w:tabs>
        <w:autoSpaceDE w:val="0"/>
        <w:autoSpaceDN w:val="0"/>
        <w:adjustRightInd w:val="0"/>
        <w:spacing w:before="0"/>
        <w:ind w:firstLine="0"/>
        <w:rPr>
          <w:color w:val="000000"/>
        </w:rPr>
      </w:pPr>
    </w:p>
    <w:p w:rsidR="003F2BE6" w:rsidRPr="00DC6ABA" w:rsidRDefault="003F2BE6" w:rsidP="003F2BE6">
      <w:pPr>
        <w:ind w:left="360"/>
        <w:outlineLvl w:val="0"/>
        <w:rPr>
          <w:b/>
          <w:sz w:val="22"/>
          <w:szCs w:val="22"/>
          <w:u w:val="single"/>
        </w:rPr>
      </w:pPr>
      <w:r w:rsidRPr="00DC6ABA">
        <w:rPr>
          <w:b/>
          <w:sz w:val="22"/>
          <w:szCs w:val="22"/>
          <w:u w:val="single"/>
        </w:rPr>
        <w:t xml:space="preserve">Plán činnosti </w:t>
      </w:r>
      <w:r w:rsidR="006F638E">
        <w:rPr>
          <w:b/>
          <w:sz w:val="22"/>
          <w:szCs w:val="22"/>
          <w:u w:val="single"/>
        </w:rPr>
        <w:t>žiackej školskej rady</w:t>
      </w:r>
      <w:r>
        <w:rPr>
          <w:b/>
          <w:sz w:val="22"/>
          <w:szCs w:val="22"/>
          <w:u w:val="single"/>
        </w:rPr>
        <w:t xml:space="preserve"> v školskom roku 201</w:t>
      </w:r>
      <w:r w:rsidR="002735B2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/201</w:t>
      </w:r>
      <w:r w:rsidR="002735B2">
        <w:rPr>
          <w:b/>
          <w:sz w:val="22"/>
          <w:szCs w:val="22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5587"/>
        <w:gridCol w:w="1260"/>
      </w:tblGrid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Mesiac: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Plánované úlohy :</w:t>
            </w:r>
          </w:p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ind w:firstLine="0"/>
              <w:outlineLvl w:val="0"/>
              <w:rPr>
                <w:b/>
              </w:rPr>
            </w:pPr>
            <w:proofErr w:type="spellStart"/>
            <w:r w:rsidRPr="00DC6ABA">
              <w:rPr>
                <w:b/>
              </w:rPr>
              <w:t>Zodpov</w:t>
            </w:r>
            <w:proofErr w:type="spellEnd"/>
            <w:r w:rsidRPr="00DC6ABA">
              <w:rPr>
                <w:b/>
              </w:rPr>
              <w:t>.</w:t>
            </w: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September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Otvorenie školského roka, návrh plánu činnosti.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Voľba školského parlamentu – Parlamentné voľby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Default="003F2BE6" w:rsidP="000B5BF7">
            <w:pPr>
              <w:spacing w:line="240" w:lineRule="auto"/>
              <w:ind w:firstLine="0"/>
              <w:outlineLvl w:val="0"/>
            </w:pPr>
            <w:r w:rsidRPr="00DC6ABA">
              <w:t xml:space="preserve">Vyhlásenie  vedomostnej súťaže: </w:t>
            </w:r>
            <w:r w:rsidR="008C4199">
              <w:t>Jaskyne na našom území</w:t>
            </w:r>
          </w:p>
          <w:p w:rsidR="008C4199" w:rsidRDefault="008C4199" w:rsidP="000B5BF7">
            <w:pPr>
              <w:spacing w:line="240" w:lineRule="auto"/>
              <w:ind w:firstLine="0"/>
              <w:outlineLvl w:val="0"/>
            </w:pPr>
            <w:r w:rsidRPr="00DC6ABA">
              <w:t>Športové súťaže- žiaci verzus učitelia</w:t>
            </w:r>
          </w:p>
          <w:p w:rsidR="00C419B9" w:rsidRDefault="00C419B9" w:rsidP="000B5BF7">
            <w:pPr>
              <w:spacing w:line="240" w:lineRule="auto"/>
              <w:ind w:firstLine="0"/>
              <w:outlineLvl w:val="0"/>
            </w:pPr>
            <w:r>
              <w:t>2</w:t>
            </w:r>
            <w:r w:rsidR="008C4199">
              <w:t>7</w:t>
            </w:r>
            <w:r>
              <w:t xml:space="preserve">.9.2016 </w:t>
            </w:r>
            <w:r w:rsidR="008C4199">
              <w:t>Deň železničiarov</w:t>
            </w:r>
          </w:p>
          <w:p w:rsidR="00C419B9" w:rsidRPr="00DC6ABA" w:rsidRDefault="001539C9" w:rsidP="009F0BBA">
            <w:pPr>
              <w:spacing w:line="240" w:lineRule="auto"/>
              <w:ind w:firstLine="0"/>
              <w:outlineLvl w:val="0"/>
            </w:pPr>
            <w:r>
              <w:t>2</w:t>
            </w:r>
            <w:r w:rsidR="009F0BBA">
              <w:t>7</w:t>
            </w:r>
            <w:r>
              <w:t>.9.2016 Svetový deň mlieka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Október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 xml:space="preserve">Október- mesiac úcty k starším 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1539C9" w:rsidRDefault="001539C9" w:rsidP="000B5BF7">
            <w:pPr>
              <w:spacing w:line="240" w:lineRule="auto"/>
              <w:outlineLvl w:val="0"/>
            </w:pPr>
            <w:r>
              <w:t xml:space="preserve">1.10.Medzinárodný deň hudby, </w:t>
            </w:r>
          </w:p>
          <w:p w:rsidR="003F2BE6" w:rsidRPr="00DC6ABA" w:rsidRDefault="001539C9" w:rsidP="000B5BF7">
            <w:pPr>
              <w:spacing w:line="240" w:lineRule="auto"/>
              <w:outlineLvl w:val="0"/>
            </w:pPr>
            <w:r>
              <w:t>20.10. Medzinárodný deň stromov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8C4199">
            <w:pPr>
              <w:spacing w:line="240" w:lineRule="auto"/>
              <w:outlineLvl w:val="0"/>
            </w:pPr>
            <w:r>
              <w:t xml:space="preserve">I. kolo súťaže : </w:t>
            </w:r>
            <w:r w:rsidR="008C4199">
              <w:t>Dobšinská ľadová jaskyňa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Zberová akcia papiera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November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Európsky týždeň boja proti drogám - aktivity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431F71" w:rsidRDefault="00431F71" w:rsidP="000B5BF7">
            <w:pPr>
              <w:spacing w:line="240" w:lineRule="auto"/>
              <w:outlineLvl w:val="0"/>
            </w:pPr>
            <w:r>
              <w:t xml:space="preserve">5.11 svetový deň behu </w:t>
            </w:r>
          </w:p>
          <w:p w:rsidR="00431F71" w:rsidRPr="00DC6ABA" w:rsidRDefault="007C7E2A" w:rsidP="007C7E2A">
            <w:pPr>
              <w:spacing w:line="240" w:lineRule="auto"/>
              <w:outlineLvl w:val="0"/>
            </w:pPr>
            <w:r>
              <w:t>21</w:t>
            </w:r>
            <w:r w:rsidR="00431F71">
              <w:t xml:space="preserve">.11 </w:t>
            </w:r>
            <w:r>
              <w:t>svetový deň pozdravov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December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Mikulášske prekvapenie pre najmenších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431F71" w:rsidRDefault="00431F71" w:rsidP="000B5BF7">
            <w:pPr>
              <w:spacing w:line="240" w:lineRule="auto"/>
              <w:outlineLvl w:val="0"/>
            </w:pPr>
            <w:r>
              <w:t xml:space="preserve">18.12 </w:t>
            </w:r>
            <w:proofErr w:type="spellStart"/>
            <w:r>
              <w:t>Medz</w:t>
            </w:r>
            <w:proofErr w:type="spellEnd"/>
            <w:r>
              <w:t>. Deň poštovej známky a filatelie</w:t>
            </w:r>
          </w:p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Vianočná pošta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7C7E2A" w:rsidP="008C4199">
            <w:pPr>
              <w:spacing w:line="240" w:lineRule="auto"/>
              <w:outlineLvl w:val="0"/>
            </w:pPr>
            <w:r>
              <w:t>I</w:t>
            </w:r>
            <w:r w:rsidR="003F2BE6">
              <w:t xml:space="preserve">I. kolo súťaže : </w:t>
            </w:r>
            <w:proofErr w:type="spellStart"/>
            <w:r w:rsidR="008C4199">
              <w:t>Ochtinská</w:t>
            </w:r>
            <w:proofErr w:type="spellEnd"/>
            <w:r w:rsidR="008C4199">
              <w:t xml:space="preserve"> aragonitová jaskyňa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Príprava a realizácia Vianočnej akadémie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Január</w:t>
            </w:r>
          </w:p>
        </w:tc>
        <w:tc>
          <w:tcPr>
            <w:tcW w:w="5587" w:type="dxa"/>
          </w:tcPr>
          <w:p w:rsidR="003F2BE6" w:rsidRDefault="003F2BE6" w:rsidP="000B5BF7">
            <w:pPr>
              <w:spacing w:line="240" w:lineRule="auto"/>
              <w:outlineLvl w:val="0"/>
            </w:pPr>
            <w:r w:rsidRPr="00DC6ABA">
              <w:t>Novoročný vinš – rozhlasová relácia</w:t>
            </w:r>
          </w:p>
          <w:p w:rsidR="00431F71" w:rsidRPr="00DC6ABA" w:rsidRDefault="00431F71" w:rsidP="000B5BF7">
            <w:pPr>
              <w:spacing w:line="240" w:lineRule="auto"/>
              <w:outlineLvl w:val="0"/>
            </w:pPr>
            <w:r>
              <w:t xml:space="preserve">4.1 </w:t>
            </w:r>
            <w:proofErr w:type="spellStart"/>
            <w:r>
              <w:t>medz</w:t>
            </w:r>
            <w:proofErr w:type="spellEnd"/>
            <w:r>
              <w:t xml:space="preserve">. </w:t>
            </w:r>
            <w:proofErr w:type="spellStart"/>
            <w:r>
              <w:t>Brailov</w:t>
            </w:r>
            <w:proofErr w:type="spellEnd"/>
            <w:r>
              <w:t xml:space="preserve"> deň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Zimná olympiáda pre najmenšie deti - organizácia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Február</w:t>
            </w:r>
          </w:p>
        </w:tc>
        <w:tc>
          <w:tcPr>
            <w:tcW w:w="5587" w:type="dxa"/>
          </w:tcPr>
          <w:p w:rsidR="003F2BE6" w:rsidRDefault="003F2BE6" w:rsidP="000B5BF7">
            <w:pPr>
              <w:spacing w:line="240" w:lineRule="auto"/>
              <w:jc w:val="left"/>
              <w:outlineLvl w:val="0"/>
            </w:pPr>
            <w:proofErr w:type="spellStart"/>
            <w:r>
              <w:t>Valentínske</w:t>
            </w:r>
            <w:proofErr w:type="spellEnd"/>
            <w:r>
              <w:t xml:space="preserve"> pozdravy- súťaž o naj ..</w:t>
            </w:r>
            <w:r w:rsidRPr="00DC6ABA">
              <w:t>pozdrav</w:t>
            </w:r>
          </w:p>
          <w:p w:rsidR="00431F71" w:rsidRPr="00DC6ABA" w:rsidRDefault="00431F71" w:rsidP="00431F71">
            <w:pPr>
              <w:spacing w:line="240" w:lineRule="auto"/>
              <w:jc w:val="left"/>
              <w:outlineLvl w:val="0"/>
            </w:pPr>
            <w:r>
              <w:t>6.2 Svetový deň bez mobilu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Príprava a realizácia školského Karnevalu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7C7E2A" w:rsidP="008C4199">
            <w:pPr>
              <w:spacing w:line="240" w:lineRule="auto"/>
              <w:outlineLvl w:val="0"/>
            </w:pPr>
            <w:r>
              <w:t>III</w:t>
            </w:r>
            <w:r w:rsidR="003F2BE6">
              <w:t xml:space="preserve">. kolo súťaže : </w:t>
            </w:r>
            <w:r w:rsidR="008C4199">
              <w:t>Krásnohorská jaskyňa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Marec</w:t>
            </w:r>
          </w:p>
        </w:tc>
        <w:tc>
          <w:tcPr>
            <w:tcW w:w="5587" w:type="dxa"/>
          </w:tcPr>
          <w:p w:rsidR="003F2BE6" w:rsidRPr="00DC6ABA" w:rsidRDefault="003F2BE6" w:rsidP="008C4199">
            <w:pPr>
              <w:spacing w:line="240" w:lineRule="auto"/>
              <w:outlineLvl w:val="0"/>
            </w:pPr>
            <w:r w:rsidRPr="00DC6ABA">
              <w:t>Mar</w:t>
            </w:r>
            <w:r w:rsidR="008C4199">
              <w:t>ec – mesiac knihy – aktivity so školskou knižnicou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Príprava pozdravov ku Dňu učiteľov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Športové súťaže- žiaci verzus učitelia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Apríl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 xml:space="preserve">Svetový deň zdravia – aktivity </w:t>
            </w:r>
          </w:p>
          <w:p w:rsidR="003F2BE6" w:rsidRPr="00DC6ABA" w:rsidRDefault="003F2BE6" w:rsidP="000B5BF7">
            <w:pPr>
              <w:spacing w:line="240" w:lineRule="auto"/>
              <w:jc w:val="left"/>
              <w:outlineLvl w:val="0"/>
            </w:pPr>
            <w:r w:rsidRPr="00DC6ABA">
              <w:t>Ak</w:t>
            </w:r>
            <w:r>
              <w:t xml:space="preserve">tivity z príležitosti  Dňa Zeme: </w:t>
            </w:r>
            <w:r w:rsidRPr="00DC6ABA">
              <w:t xml:space="preserve">brigády v okolí 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Deň narcisov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7C7E2A" w:rsidP="008C4199">
            <w:pPr>
              <w:spacing w:line="240" w:lineRule="auto"/>
              <w:outlineLvl w:val="0"/>
            </w:pPr>
            <w:r>
              <w:t>IV</w:t>
            </w:r>
            <w:r w:rsidR="003F2BE6">
              <w:t xml:space="preserve">. kolo súťaže </w:t>
            </w:r>
            <w:r w:rsidR="001539C9">
              <w:t xml:space="preserve">: </w:t>
            </w:r>
            <w:proofErr w:type="spellStart"/>
            <w:r w:rsidR="008C4199">
              <w:t>Gombasecká</w:t>
            </w:r>
            <w:proofErr w:type="spellEnd"/>
            <w:r w:rsidR="008C4199">
              <w:t xml:space="preserve"> jaskyňa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Máj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Deň matiek,   Deň rodiny – pozdravy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Pripomenutie pamätných dní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Jarná brigáda v okolí školy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  <w:r w:rsidRPr="00DC6ABA">
              <w:rPr>
                <w:b/>
              </w:rPr>
              <w:t>Jún</w:t>
            </w: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Aktivity k MDD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Vyhodnotenie celoškolských súťaží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  <w:tr w:rsidR="003F2BE6" w:rsidRPr="00DC6ABA" w:rsidTr="000B5BF7">
        <w:tc>
          <w:tcPr>
            <w:tcW w:w="1837" w:type="dxa"/>
          </w:tcPr>
          <w:p w:rsidR="003F2BE6" w:rsidRPr="00DC6ABA" w:rsidRDefault="003F2BE6" w:rsidP="000B5BF7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5587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  <w:r w:rsidRPr="00DC6ABA">
              <w:t>Vyhodnotenie činnosti školského parlamentu</w:t>
            </w:r>
          </w:p>
        </w:tc>
        <w:tc>
          <w:tcPr>
            <w:tcW w:w="1260" w:type="dxa"/>
          </w:tcPr>
          <w:p w:rsidR="003F2BE6" w:rsidRPr="00DC6ABA" w:rsidRDefault="003F2BE6" w:rsidP="000B5BF7">
            <w:pPr>
              <w:spacing w:line="240" w:lineRule="auto"/>
              <w:outlineLvl w:val="0"/>
            </w:pPr>
          </w:p>
        </w:tc>
      </w:tr>
    </w:tbl>
    <w:p w:rsidR="003F2BE6" w:rsidRDefault="003F2BE6" w:rsidP="003F2BE6">
      <w:pPr>
        <w:spacing w:line="240" w:lineRule="auto"/>
        <w:outlineLvl w:val="0"/>
        <w:rPr>
          <w:b/>
        </w:rPr>
      </w:pPr>
    </w:p>
    <w:p w:rsidR="00C25F3C" w:rsidRDefault="00C25F3C"/>
    <w:sectPr w:rsidR="00C25F3C" w:rsidSect="00C2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D26"/>
    <w:multiLevelType w:val="hybridMultilevel"/>
    <w:tmpl w:val="431873BE"/>
    <w:lvl w:ilvl="0" w:tplc="E4B0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A7C">
      <w:numFmt w:val="none"/>
      <w:lvlText w:val=""/>
      <w:lvlJc w:val="left"/>
      <w:pPr>
        <w:tabs>
          <w:tab w:val="num" w:pos="360"/>
        </w:tabs>
      </w:pPr>
    </w:lvl>
    <w:lvl w:ilvl="2" w:tplc="03AEAAB2">
      <w:numFmt w:val="none"/>
      <w:lvlText w:val=""/>
      <w:lvlJc w:val="left"/>
      <w:pPr>
        <w:tabs>
          <w:tab w:val="num" w:pos="360"/>
        </w:tabs>
      </w:pPr>
    </w:lvl>
    <w:lvl w:ilvl="3" w:tplc="14704E3E">
      <w:numFmt w:val="none"/>
      <w:lvlText w:val=""/>
      <w:lvlJc w:val="left"/>
      <w:pPr>
        <w:tabs>
          <w:tab w:val="num" w:pos="360"/>
        </w:tabs>
      </w:pPr>
    </w:lvl>
    <w:lvl w:ilvl="4" w:tplc="1EF85D4E">
      <w:numFmt w:val="none"/>
      <w:lvlText w:val=""/>
      <w:lvlJc w:val="left"/>
      <w:pPr>
        <w:tabs>
          <w:tab w:val="num" w:pos="360"/>
        </w:tabs>
      </w:pPr>
    </w:lvl>
    <w:lvl w:ilvl="5" w:tplc="05D88FC2">
      <w:numFmt w:val="none"/>
      <w:lvlText w:val=""/>
      <w:lvlJc w:val="left"/>
      <w:pPr>
        <w:tabs>
          <w:tab w:val="num" w:pos="360"/>
        </w:tabs>
      </w:pPr>
    </w:lvl>
    <w:lvl w:ilvl="6" w:tplc="6DDE7240">
      <w:numFmt w:val="none"/>
      <w:lvlText w:val=""/>
      <w:lvlJc w:val="left"/>
      <w:pPr>
        <w:tabs>
          <w:tab w:val="num" w:pos="360"/>
        </w:tabs>
      </w:pPr>
    </w:lvl>
    <w:lvl w:ilvl="7" w:tplc="6500095C">
      <w:numFmt w:val="none"/>
      <w:lvlText w:val=""/>
      <w:lvlJc w:val="left"/>
      <w:pPr>
        <w:tabs>
          <w:tab w:val="num" w:pos="360"/>
        </w:tabs>
      </w:pPr>
    </w:lvl>
    <w:lvl w:ilvl="8" w:tplc="8F7026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2657C1E"/>
    <w:multiLevelType w:val="hybridMultilevel"/>
    <w:tmpl w:val="10BC63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433FD"/>
    <w:multiLevelType w:val="hybridMultilevel"/>
    <w:tmpl w:val="D48C95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4C3926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BE6"/>
    <w:rsid w:val="000835B0"/>
    <w:rsid w:val="000C6D72"/>
    <w:rsid w:val="001539C9"/>
    <w:rsid w:val="002735B2"/>
    <w:rsid w:val="0036241E"/>
    <w:rsid w:val="003F2BE6"/>
    <w:rsid w:val="00431F71"/>
    <w:rsid w:val="005E2844"/>
    <w:rsid w:val="006F638E"/>
    <w:rsid w:val="007C7E2A"/>
    <w:rsid w:val="008C4199"/>
    <w:rsid w:val="00965C2D"/>
    <w:rsid w:val="009F0BBA"/>
    <w:rsid w:val="009F4EB2"/>
    <w:rsid w:val="00AD57F0"/>
    <w:rsid w:val="00B32E45"/>
    <w:rsid w:val="00C25F3C"/>
    <w:rsid w:val="00C419B9"/>
    <w:rsid w:val="00DC596F"/>
    <w:rsid w:val="00DF6C28"/>
    <w:rsid w:val="00E4301E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539"/>
  <w15:docId w15:val="{25BFA9A3-33EE-40E6-9DF0-47C0E80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BE6"/>
    <w:pPr>
      <w:spacing w:before="240"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qFormat/>
    <w:rsid w:val="006F638E"/>
    <w:pPr>
      <w:keepNext/>
      <w:spacing w:before="0" w:line="480" w:lineRule="auto"/>
      <w:ind w:firstLine="0"/>
      <w:jc w:val="center"/>
      <w:outlineLvl w:val="2"/>
    </w:pPr>
    <w:rPr>
      <w:rFonts w:eastAsiaTheme="minorHAnsi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F638E"/>
    <w:rPr>
      <w:rFonts w:ascii="Times New Roman" w:hAnsi="Times New Roman" w:cs="Times New Roman"/>
      <w:b/>
      <w:sz w:val="28"/>
      <w:szCs w:val="24"/>
    </w:rPr>
  </w:style>
  <w:style w:type="paragraph" w:styleId="Odsekzoznamu">
    <w:name w:val="List Paragraph"/>
    <w:basedOn w:val="Normlny"/>
    <w:uiPriority w:val="34"/>
    <w:qFormat/>
    <w:rsid w:val="003F2BE6"/>
    <w:pPr>
      <w:ind w:left="720"/>
      <w:contextualSpacing/>
    </w:pPr>
  </w:style>
  <w:style w:type="paragraph" w:styleId="Bezriadkovania">
    <w:name w:val="No Spacing"/>
    <w:uiPriority w:val="1"/>
    <w:qFormat/>
    <w:rsid w:val="003F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7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T&amp;LU</cp:lastModifiedBy>
  <cp:revision>10</cp:revision>
  <cp:lastPrinted>2017-09-01T07:24:00Z</cp:lastPrinted>
  <dcterms:created xsi:type="dcterms:W3CDTF">2016-08-26T10:59:00Z</dcterms:created>
  <dcterms:modified xsi:type="dcterms:W3CDTF">2018-09-11T10:01:00Z</dcterms:modified>
</cp:coreProperties>
</file>