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66" w:rsidRPr="00EA39C6" w:rsidRDefault="00490C66" w:rsidP="00490C66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spacing w:val="-10"/>
        </w:rPr>
        <w:t>W</w:t>
      </w:r>
      <w:r w:rsidRPr="00EA39C6">
        <w:rPr>
          <w:rStyle w:val="Bold"/>
          <w:rFonts w:asciiTheme="minorHAnsi" w:hAnsiTheme="minorHAnsi"/>
          <w:spacing w:val="-10"/>
        </w:rPr>
        <w:t>ymagania na poszczególne oceny szkolne</w:t>
      </w:r>
      <w:r>
        <w:rPr>
          <w:rStyle w:val="Bold"/>
          <w:rFonts w:asciiTheme="minorHAnsi" w:hAnsiTheme="minorHAnsi"/>
          <w:spacing w:val="-10"/>
        </w:rPr>
        <w:t xml:space="preserve"> - </w:t>
      </w:r>
      <w:r>
        <w:rPr>
          <w:rStyle w:val="Bold"/>
          <w:rFonts w:asciiTheme="minorHAnsi" w:hAnsiTheme="minorHAnsi"/>
          <w:spacing w:val="-10"/>
        </w:rPr>
        <w:t>przyroda</w:t>
      </w:r>
    </w:p>
    <w:p w:rsidR="00490C66" w:rsidRPr="007C0D59" w:rsidRDefault="00490C66" w:rsidP="00490C66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 xml:space="preserve">Klasa 4 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490C66" w:rsidRPr="0002209F" w:rsidTr="007B154A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490C66" w:rsidRPr="0002209F" w:rsidTr="007B154A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0C66" w:rsidRPr="00EE5625" w:rsidRDefault="00490C66" w:rsidP="007B154A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0C66" w:rsidRPr="00EE5625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490C66" w:rsidRPr="00561DB4" w:rsidTr="007B154A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F06397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i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6C4E2D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490C66" w:rsidRPr="006C4E2D" w:rsidRDefault="00490C66" w:rsidP="007B154A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490C66" w:rsidRPr="00561DB4" w:rsidTr="007B154A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490C66" w:rsidRPr="00561DB4" w:rsidTr="007B154A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F06397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nie można narysować planu klasy bez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490C66" w:rsidRPr="00561DB4" w:rsidTr="007B154A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określa kierunki świata na mapie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13. Mapa pogody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składniki 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składniki 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pogodę 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pory roku 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przedstawia mapę pogody na podstawie prognozy słownej.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490C66" w:rsidRPr="00561DB4" w:rsidTr="007B154A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F06397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490C66" w:rsidRPr="00561DB4" w:rsidTr="007B154A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podstawowe części szkieletu;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dwa przeciwstawnie działające mięśnie, np. zginacz i prostownik przedramienia;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490C66" w:rsidRPr="00561DB4" w:rsidTr="007B154A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490C66" w:rsidRPr="00561DB4" w:rsidTr="007B154A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490C66" w:rsidRPr="00561DB4" w:rsidTr="007B154A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490C66" w:rsidRPr="00561DB4" w:rsidTr="007B154A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podstawowe 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nerwowego w funkcjonowaniu 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490C66" w:rsidRPr="00561DB4" w:rsidTr="007B154A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490C66" w:rsidRPr="00561DB4" w:rsidTr="007B154A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490C66" w:rsidRPr="00561DB4" w:rsidTr="007B154A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2E74B5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2E74B5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490C66" w:rsidRPr="00561DB4" w:rsidTr="007B154A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490C66" w:rsidRPr="00561DB4" w:rsidTr="007B154A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zachowań asertywnych wobec presji otoczenia;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znajomości zawarte przez internet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podstawowe zasady zdrowego stylu życia;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zasady zdrowego stylu życia;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bycie życzliwym dla innych ma wpływ na zdrowie człowieka;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490C66" w:rsidRPr="00561DB4" w:rsidTr="007B154A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22E8E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490C66" w:rsidRPr="00561DB4" w:rsidTr="007B154A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38. Organizmy 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rozpoznaje pospolite drzewa, krzewy i rośliny zielne występujące w najbliższej okolicy;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różnice między drzewem iglastym a drzewem liściastym;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bylin 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podaje, które rośliny są 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roślinami jednorocznymi, dwuletnimi i wieloletnimi.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490C66" w:rsidRPr="00561DB4" w:rsidTr="007B154A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 ziemniaków 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490C66" w:rsidRPr="00561DB4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490C66" w:rsidRPr="00561DB4" w:rsidTr="007B154A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490C66" w:rsidRPr="00561DB4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490C66" w:rsidRPr="00561DB4" w:rsidTr="007B154A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0201B9" w:rsidRDefault="00490C66" w:rsidP="007B154A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8957A1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6C4E2D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490C66" w:rsidRPr="00561DB4" w:rsidTr="007B154A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6C4E2D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możliwości ochrony przyrody przez 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2E74B5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490C66" w:rsidRPr="00561DB4" w:rsidTr="007B154A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6C4E2D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6. 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90C66" w:rsidRPr="001B77EC" w:rsidRDefault="00490C66" w:rsidP="007B154A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490C66" w:rsidRPr="00561DB4" w:rsidRDefault="00490C66" w:rsidP="00490C66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490C66" w:rsidRPr="00561DB4" w:rsidRDefault="00490C66" w:rsidP="00490C66"/>
    <w:p w:rsidR="00537C32" w:rsidRDefault="00537C32"/>
    <w:sectPr w:rsidR="00537C32" w:rsidSect="001E4CB0">
      <w:headerReference w:type="default" r:id="rId4"/>
      <w:footerReference w:type="default" r:id="rId5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1D" w:rsidRDefault="00490C6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5FAC3" wp14:editId="36E1D67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57F69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32331D" w:rsidRDefault="00490C6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ECA876" wp14:editId="6207708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629E5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32331D" w:rsidRDefault="00490C66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27618E8" wp14:editId="17A658E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63AD1026" wp14:editId="01515C2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331D" w:rsidRDefault="00490C66" w:rsidP="009130E5">
    <w:pPr>
      <w:pStyle w:val="Stopka"/>
      <w:ind w:left="-1417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2331D" w:rsidRPr="00285D6F" w:rsidRDefault="00490C66" w:rsidP="00D22D55">
    <w:pPr>
      <w:pStyle w:val="Stopka"/>
      <w:tabs>
        <w:tab w:val="clear" w:pos="4536"/>
        <w:tab w:val="clear" w:pos="9072"/>
      </w:tabs>
      <w:ind w:left="-141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1D" w:rsidRDefault="00490C66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5076C5" wp14:editId="19E9361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CBDD21" wp14:editId="01EF0240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31D" w:rsidRDefault="00490C66" w:rsidP="00435B7E">
    <w:pPr>
      <w:pStyle w:val="Nagwek"/>
      <w:tabs>
        <w:tab w:val="clear" w:pos="9072"/>
      </w:tabs>
      <w:ind w:left="142" w:right="142"/>
    </w:pPr>
  </w:p>
  <w:p w:rsidR="0032331D" w:rsidRDefault="00490C66" w:rsidP="00D22D55">
    <w:pPr>
      <w:pStyle w:val="Nagwek"/>
      <w:tabs>
        <w:tab w:val="clear" w:pos="9072"/>
      </w:tabs>
      <w:ind w:left="142" w:right="-283"/>
    </w:pPr>
  </w:p>
  <w:p w:rsidR="0032331D" w:rsidRDefault="00490C66" w:rsidP="00D22D55">
    <w:pPr>
      <w:pStyle w:val="Nagwek"/>
      <w:tabs>
        <w:tab w:val="clear" w:pos="9072"/>
      </w:tabs>
      <w:ind w:left="142" w:right="-283"/>
    </w:pPr>
  </w:p>
  <w:p w:rsidR="0032331D" w:rsidRPr="000B75F5" w:rsidRDefault="00490C66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32331D" w:rsidRDefault="00490C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6"/>
    <w:rsid w:val="00490C66"/>
    <w:rsid w:val="005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7241"/>
  <w15:chartTrackingRefBased/>
  <w15:docId w15:val="{1922C645-87F3-4645-9906-DF0D7D1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je punkty"/>
    <w:qFormat/>
    <w:rsid w:val="00490C66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C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66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0C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66"/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ytu1NieuzywaneTytuy">
    <w:name w:val="tytuł 1 (Nieuzywane:Tytuły)"/>
    <w:basedOn w:val="Normalny"/>
    <w:uiPriority w:val="99"/>
    <w:rsid w:val="00490C66"/>
    <w:pPr>
      <w:widowControl w:val="0"/>
      <w:tabs>
        <w:tab w:val="clear" w:pos="170"/>
      </w:tabs>
      <w:spacing w:line="600" w:lineRule="atLeast"/>
      <w:ind w:left="0" w:firstLine="0"/>
    </w:pPr>
    <w:rPr>
      <w:rFonts w:ascii="AgendaPl-Bold" w:eastAsiaTheme="minorEastAsia" w:hAnsi="AgendaPl-Bold" w:cs="AgendaPl-Bold"/>
      <w:b/>
      <w:bCs/>
      <w:color w:val="F39200"/>
      <w:sz w:val="42"/>
      <w:szCs w:val="42"/>
      <w:lang w:eastAsia="pl-PL"/>
    </w:rPr>
  </w:style>
  <w:style w:type="character" w:customStyle="1" w:styleId="Bold">
    <w:name w:val="Bold"/>
    <w:uiPriority w:val="99"/>
    <w:rsid w:val="00490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3572</Words>
  <Characters>21432</Characters>
  <Application>Microsoft Office Word</Application>
  <DocSecurity>0</DocSecurity>
  <Lines>178</Lines>
  <Paragraphs>49</Paragraphs>
  <ScaleCrop>false</ScaleCrop>
  <Company>Microsoft</Company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2018-09-04T07:15:00Z</dcterms:created>
  <dcterms:modified xsi:type="dcterms:W3CDTF">2018-09-04T07:18:00Z</dcterms:modified>
</cp:coreProperties>
</file>