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42" w:rsidRPr="008A10D7" w:rsidRDefault="00607942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7875AD" w:rsidRPr="008A10D7" w:rsidRDefault="007875AD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  <w:r w:rsidRPr="008A10D7">
        <w:rPr>
          <w:rFonts w:eastAsia="Times New Roman" w:cs="Tahoma"/>
          <w:b/>
          <w:color w:val="000000"/>
          <w:lang w:eastAsia="pl-PL"/>
        </w:rPr>
        <w:tab/>
      </w: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tabs>
          <w:tab w:val="left" w:pos="5610"/>
        </w:tabs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B416E9" w:rsidRPr="008A10D7" w:rsidRDefault="00B416E9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7875AD" w:rsidRPr="008A10D7" w:rsidRDefault="007875AD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  <w:r w:rsidRPr="008A10D7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PROGRAM ZAJĘĆ POZALEKCYJNYCH NAUKI GRY NA GITARZE </w:t>
      </w:r>
      <w:r w:rsidR="00E101D7" w:rsidRPr="008A10D7">
        <w:rPr>
          <w:rFonts w:eastAsia="Times New Roman" w:cs="Tahoma"/>
          <w:b/>
          <w:color w:val="000000"/>
          <w:sz w:val="40"/>
          <w:szCs w:val="40"/>
          <w:lang w:eastAsia="pl-PL"/>
        </w:rPr>
        <w:t>I</w:t>
      </w:r>
      <w:r w:rsidRPr="008A10D7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KEYBOARDZIE</w:t>
      </w:r>
      <w:r w:rsidR="00E101D7" w:rsidRPr="008A10D7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W PUBLICZNEJ SZKOLE PODSTAWOWEJ IM. GEN. MARCINA KĄTSKIEGO W KĄTACH 201</w:t>
      </w:r>
      <w:r w:rsidR="00E4534E">
        <w:rPr>
          <w:rFonts w:eastAsia="Times New Roman" w:cs="Tahoma"/>
          <w:b/>
          <w:color w:val="000000"/>
          <w:sz w:val="40"/>
          <w:szCs w:val="40"/>
          <w:lang w:eastAsia="pl-PL"/>
        </w:rPr>
        <w:t>5</w:t>
      </w:r>
      <w:r w:rsidR="00E101D7" w:rsidRPr="008A10D7">
        <w:rPr>
          <w:rFonts w:eastAsia="Times New Roman" w:cs="Tahoma"/>
          <w:b/>
          <w:color w:val="000000"/>
          <w:sz w:val="40"/>
          <w:szCs w:val="40"/>
          <w:lang w:eastAsia="pl-PL"/>
        </w:rPr>
        <w:t>/201</w:t>
      </w:r>
      <w:r w:rsidR="00E4534E">
        <w:rPr>
          <w:rFonts w:eastAsia="Times New Roman" w:cs="Tahoma"/>
          <w:b/>
          <w:color w:val="000000"/>
          <w:sz w:val="40"/>
          <w:szCs w:val="40"/>
          <w:lang w:eastAsia="pl-PL"/>
        </w:rPr>
        <w:t>6</w:t>
      </w: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tabs>
          <w:tab w:val="left" w:pos="5625"/>
        </w:tabs>
        <w:spacing w:after="0" w:line="24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tabs>
          <w:tab w:val="left" w:pos="5625"/>
        </w:tabs>
        <w:spacing w:after="0" w:line="24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</w:p>
    <w:p w:rsidR="00B416E9" w:rsidRPr="008A10D7" w:rsidRDefault="00B416E9" w:rsidP="008A10D7">
      <w:pPr>
        <w:spacing w:after="0" w:line="240" w:lineRule="auto"/>
        <w:jc w:val="right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</w:p>
    <w:p w:rsidR="00607942" w:rsidRPr="008A10D7" w:rsidRDefault="007875AD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="Tahoma"/>
          <w:b/>
          <w:color w:val="000000"/>
          <w:lang w:eastAsia="pl-PL"/>
        </w:rPr>
      </w:pPr>
      <w:r w:rsidRPr="008A10D7">
        <w:rPr>
          <w:rFonts w:eastAsia="Times New Roman" w:cs="Tahoma"/>
          <w:b/>
          <w:color w:val="000000"/>
          <w:lang w:eastAsia="pl-PL"/>
        </w:rPr>
        <w:t>WSTĘ</w:t>
      </w:r>
      <w:r w:rsidR="00607942" w:rsidRPr="008A10D7">
        <w:rPr>
          <w:rFonts w:eastAsia="Times New Roman" w:cs="Tahoma"/>
          <w:b/>
          <w:color w:val="000000"/>
          <w:lang w:eastAsia="pl-PL"/>
        </w:rPr>
        <w:t>P:</w:t>
      </w:r>
    </w:p>
    <w:p w:rsidR="00607942" w:rsidRPr="008A10D7" w:rsidRDefault="00607942" w:rsidP="008A10D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8A10D7">
        <w:rPr>
          <w:rFonts w:eastAsia="Times New Roman" w:cs="Tahoma"/>
          <w:color w:val="000000"/>
          <w:lang w:eastAsia="pl-PL"/>
        </w:rPr>
        <w:t xml:space="preserve">Program obejmuje treści niezbędne do nauki gry na keyboardzie lub gitarze, rozpoczynanej od podstaw. Repertuar zawiera </w:t>
      </w:r>
      <w:r w:rsidR="008A10D7">
        <w:rPr>
          <w:rFonts w:eastAsia="Times New Roman" w:cs="Tahoma"/>
          <w:color w:val="000000"/>
          <w:lang w:eastAsia="pl-PL"/>
        </w:rPr>
        <w:t xml:space="preserve">utwory i </w:t>
      </w:r>
      <w:r w:rsidRPr="008A10D7">
        <w:rPr>
          <w:rFonts w:eastAsia="Times New Roman" w:cs="Tahoma"/>
          <w:color w:val="000000"/>
          <w:lang w:eastAsia="pl-PL"/>
        </w:rPr>
        <w:t xml:space="preserve">piosenki odpowiednie dla kształcenia muzycznego dzieci w szkole podstawowej. </w:t>
      </w:r>
      <w:r w:rsidR="008A1256" w:rsidRPr="008A10D7">
        <w:rPr>
          <w:rFonts w:eastAsia="Times New Roman" w:cs="Tahoma"/>
          <w:color w:val="000000"/>
          <w:lang w:eastAsia="pl-PL"/>
        </w:rPr>
        <w:t xml:space="preserve">Dobór repertuaru z zakresu nauczania przedszkolnego i ogólnokształcącego. </w:t>
      </w:r>
      <w:r w:rsidRPr="008A10D7">
        <w:rPr>
          <w:rFonts w:eastAsia="Times New Roman" w:cs="Tahoma"/>
          <w:color w:val="000000"/>
          <w:lang w:eastAsia="pl-PL"/>
        </w:rPr>
        <w:t>Uwzględniono też fragmenty utworów z literatury klasycznej oraz pieśni popularne. Przy doborze pieśni zwrócono uwagę na repertuar dziecięcy, ale tez na odpowiednie poszerzenie wiedzy muzycznej</w:t>
      </w:r>
      <w:r w:rsidR="008A10D7">
        <w:rPr>
          <w:rFonts w:eastAsia="Times New Roman" w:cs="Tahoma"/>
          <w:color w:val="000000"/>
          <w:lang w:eastAsia="pl-PL"/>
        </w:rPr>
        <w:t xml:space="preserve"> oraz walory artystyczne</w:t>
      </w:r>
      <w:r w:rsidRPr="008A10D7">
        <w:rPr>
          <w:rFonts w:eastAsia="Times New Roman" w:cs="Tahoma"/>
          <w:color w:val="000000"/>
          <w:lang w:eastAsia="pl-PL"/>
        </w:rPr>
        <w:t>.  Układ podawania treści oraz nowych zagadnień</w:t>
      </w:r>
      <w:r w:rsidR="008A1256" w:rsidRPr="008A10D7">
        <w:rPr>
          <w:rFonts w:eastAsia="Times New Roman" w:cs="Tahoma"/>
          <w:color w:val="000000"/>
          <w:lang w:eastAsia="pl-PL"/>
        </w:rPr>
        <w:t xml:space="preserve"> jest tak skonstruowany</w:t>
      </w:r>
      <w:r w:rsidRPr="008A10D7">
        <w:rPr>
          <w:rFonts w:eastAsia="Times New Roman" w:cs="Tahoma"/>
          <w:color w:val="000000"/>
          <w:lang w:eastAsia="pl-PL"/>
        </w:rPr>
        <w:t xml:space="preserve"> </w:t>
      </w:r>
      <w:r w:rsidR="008A1256" w:rsidRPr="008A10D7">
        <w:rPr>
          <w:rFonts w:eastAsia="Times New Roman" w:cs="Tahoma"/>
          <w:color w:val="000000"/>
          <w:lang w:eastAsia="pl-PL"/>
        </w:rPr>
        <w:t>aby osoba ucząca się gry odczuła sukces ze zdobytych umiejętności. Przewidziano naukę indywidualnie lub w grupie. Nauczanie bowiem zbiorowe stwarza możliwość wspólnego muzykowania. Program przedstawia spiralny układ treści nauczania, bez podziału na semestry czy lata nauki. Jednym z kryteriów czasowych jest tempo realizacji materiału nauczania przez poszczególnych uczniów, zdolności muzycznych oraz postępów w nauce. Systematyczny układ materiału nauczania. Propozycje zadań i ćwiczeń przedstawia się tak, aby w p</w:t>
      </w:r>
      <w:r w:rsidR="007875AD" w:rsidRPr="008A10D7">
        <w:rPr>
          <w:rFonts w:eastAsia="Times New Roman" w:cs="Tahoma"/>
          <w:color w:val="000000"/>
          <w:lang w:eastAsia="pl-PL"/>
        </w:rPr>
        <w:t>rocesie kształcenia umożliwiać przestrzeganie zasad motywacji, aktywności, praktyczności, bezpośredniości, receptywności i systemowości. W programie przestrzega się harmonijnego łączenia elementów kształcenia muzyczno-metodycznego: kształcenia słuchu, głosu, poczucia rytmu i melodii, harmonii. Uwzględniono rodzaje aktywności muzycznej takie jak: grę, śpiew i tworzenie</w:t>
      </w:r>
      <w:r w:rsidR="00B33082" w:rsidRPr="008A10D7">
        <w:rPr>
          <w:rFonts w:eastAsia="Times New Roman" w:cs="Tahoma"/>
          <w:color w:val="000000"/>
          <w:lang w:eastAsia="pl-PL"/>
        </w:rPr>
        <w:t xml:space="preserve"> muzyki</w:t>
      </w:r>
      <w:r w:rsidR="007875AD" w:rsidRPr="008A10D7">
        <w:rPr>
          <w:rFonts w:eastAsia="Times New Roman" w:cs="Tahoma"/>
          <w:color w:val="000000"/>
          <w:lang w:eastAsia="pl-PL"/>
        </w:rPr>
        <w:t xml:space="preserve">. </w:t>
      </w:r>
    </w:p>
    <w:p w:rsidR="00607942" w:rsidRPr="008A10D7" w:rsidRDefault="00607942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607942" w:rsidRPr="008A10D7" w:rsidRDefault="00607942" w:rsidP="008A10D7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607942" w:rsidRPr="008A10D7" w:rsidRDefault="007875AD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="Tahoma"/>
          <w:b/>
          <w:color w:val="000000"/>
          <w:lang w:eastAsia="pl-PL"/>
        </w:rPr>
      </w:pPr>
      <w:r w:rsidRPr="008A10D7">
        <w:rPr>
          <w:rFonts w:eastAsia="Times New Roman" w:cs="Tahoma"/>
          <w:b/>
          <w:color w:val="000000"/>
          <w:lang w:eastAsia="pl-PL"/>
        </w:rPr>
        <w:t>METODY:</w:t>
      </w:r>
    </w:p>
    <w:p w:rsidR="007875AD" w:rsidRPr="008A10D7" w:rsidRDefault="007875AD" w:rsidP="008A10D7">
      <w:pPr>
        <w:pStyle w:val="Akapitzlist"/>
        <w:spacing w:after="0" w:line="240" w:lineRule="auto"/>
        <w:ind w:left="0"/>
        <w:rPr>
          <w:rFonts w:eastAsia="Times New Roman" w:cs="Tahoma"/>
          <w:color w:val="000000"/>
          <w:lang w:eastAsia="pl-PL"/>
        </w:rPr>
      </w:pPr>
      <w:r w:rsidRPr="008A10D7">
        <w:rPr>
          <w:rFonts w:eastAsia="Times New Roman" w:cs="Tahoma"/>
          <w:color w:val="000000"/>
          <w:lang w:eastAsia="pl-PL"/>
        </w:rPr>
        <w:t>- problemowe</w:t>
      </w:r>
    </w:p>
    <w:p w:rsidR="007875AD" w:rsidRPr="008A10D7" w:rsidRDefault="007875AD" w:rsidP="008A10D7">
      <w:pPr>
        <w:pStyle w:val="Akapitzlist"/>
        <w:spacing w:after="0" w:line="240" w:lineRule="auto"/>
        <w:ind w:left="0"/>
        <w:rPr>
          <w:rFonts w:eastAsia="Times New Roman" w:cs="Tahoma"/>
          <w:color w:val="000000"/>
          <w:lang w:eastAsia="pl-PL"/>
        </w:rPr>
      </w:pPr>
      <w:r w:rsidRPr="008A10D7">
        <w:rPr>
          <w:rFonts w:eastAsia="Times New Roman" w:cs="Tahoma"/>
          <w:color w:val="000000"/>
          <w:lang w:eastAsia="pl-PL"/>
        </w:rPr>
        <w:t>- waloryzacyjne</w:t>
      </w:r>
    </w:p>
    <w:p w:rsidR="007875AD" w:rsidRPr="008A10D7" w:rsidRDefault="007875AD" w:rsidP="008A10D7">
      <w:pPr>
        <w:pStyle w:val="Akapitzlist"/>
        <w:spacing w:after="0" w:line="240" w:lineRule="auto"/>
        <w:ind w:left="0"/>
        <w:rPr>
          <w:rFonts w:eastAsia="Times New Roman" w:cs="Tahoma"/>
          <w:color w:val="000000"/>
          <w:lang w:eastAsia="pl-PL"/>
        </w:rPr>
      </w:pPr>
      <w:r w:rsidRPr="008A10D7">
        <w:rPr>
          <w:rFonts w:eastAsia="Times New Roman" w:cs="Tahoma"/>
          <w:color w:val="000000"/>
          <w:lang w:eastAsia="pl-PL"/>
        </w:rPr>
        <w:t>-praktycznego działania</w:t>
      </w:r>
    </w:p>
    <w:p w:rsidR="007875AD" w:rsidRPr="008A10D7" w:rsidRDefault="007875AD" w:rsidP="008A10D7">
      <w:pPr>
        <w:pStyle w:val="Akapitzlist"/>
        <w:spacing w:after="0" w:line="240" w:lineRule="auto"/>
        <w:ind w:left="0"/>
        <w:rPr>
          <w:rFonts w:eastAsia="Times New Roman" w:cs="Tahoma"/>
          <w:color w:val="000000"/>
          <w:lang w:eastAsia="pl-PL"/>
        </w:rPr>
      </w:pPr>
      <w:r w:rsidRPr="008A10D7">
        <w:rPr>
          <w:rFonts w:eastAsia="Times New Roman" w:cs="Tahoma"/>
          <w:color w:val="000000"/>
          <w:lang w:eastAsia="pl-PL"/>
        </w:rPr>
        <w:t>-pokazowa</w:t>
      </w:r>
    </w:p>
    <w:p w:rsidR="00607942" w:rsidRPr="008A10D7" w:rsidRDefault="00607942" w:rsidP="008A10D7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607942" w:rsidRPr="008A10D7" w:rsidRDefault="00607942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="Tahoma"/>
          <w:b/>
          <w:color w:val="000000"/>
          <w:lang w:eastAsia="pl-PL"/>
        </w:rPr>
      </w:pPr>
      <w:r w:rsidRPr="008A10D7">
        <w:rPr>
          <w:rFonts w:eastAsia="Times New Roman" w:cs="Tahoma"/>
          <w:b/>
          <w:color w:val="000000"/>
          <w:lang w:eastAsia="pl-PL"/>
        </w:rPr>
        <w:t>CELE GŁÓWNE:</w:t>
      </w:r>
    </w:p>
    <w:p w:rsidR="00607942" w:rsidRPr="008A10D7" w:rsidRDefault="00607942" w:rsidP="008A10D7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>Rozwijanie zainteresowań uczniów, pogłębianie i rozszerzanie wiedzy szkolnej</w:t>
      </w:r>
    </w:p>
    <w:p w:rsidR="00607942" w:rsidRPr="008A10D7" w:rsidRDefault="00607942" w:rsidP="008A10D7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Stwarzanie warunków do rozwoju młodzieży szczególnie uzdolnionej </w:t>
      </w:r>
    </w:p>
    <w:p w:rsidR="00607942" w:rsidRPr="008A10D7" w:rsidRDefault="00607942" w:rsidP="008A10D7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>Organizowanie różnorodnych form edukacji artystycznej</w:t>
      </w:r>
    </w:p>
    <w:p w:rsidR="00607942" w:rsidRPr="008A10D7" w:rsidRDefault="00607942" w:rsidP="008A10D7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>Zdobycie przez uczestników konkretnej umiejętności gry na danym instrumencie</w:t>
      </w:r>
      <w:r w:rsidR="008A1256"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 keyboardzie lub gitarze. </w:t>
      </w:r>
    </w:p>
    <w:p w:rsidR="00607942" w:rsidRPr="008A10D7" w:rsidRDefault="00607942" w:rsidP="008A10D7">
      <w:pPr>
        <w:pStyle w:val="Akapitzlist"/>
        <w:spacing w:after="0" w:line="240" w:lineRule="auto"/>
        <w:ind w:left="0"/>
        <w:rPr>
          <w:rFonts w:eastAsia="Times New Roman" w:cs="Tahoma"/>
          <w:b/>
          <w:color w:val="000000"/>
          <w:lang w:eastAsia="pl-PL"/>
        </w:rPr>
      </w:pPr>
    </w:p>
    <w:p w:rsidR="00607942" w:rsidRPr="008A10D7" w:rsidRDefault="00607942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="Tahoma"/>
          <w:b/>
          <w:color w:val="000000"/>
          <w:lang w:eastAsia="pl-PL"/>
        </w:rPr>
      </w:pPr>
      <w:r w:rsidRPr="008A10D7">
        <w:rPr>
          <w:rFonts w:eastAsia="Times New Roman" w:cs="Tahoma"/>
          <w:b/>
          <w:color w:val="000000"/>
          <w:lang w:eastAsia="pl-PL"/>
        </w:rPr>
        <w:t>CELE SZCZEGÓŁOWE: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Rozwijanie zainteresowań muzyką oraz zdolności i umiejętności gry na gitarze, keyboardzie 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Rozwijanie podstaw techniki instrumentalnej, odtwórczej pamięci muzycznej i wrażliwości na jakość dźwięku 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Kształcenie wrażliwości na środki wyrazu muzycznego występującego w grze instrumentalnej, rozwijanie poczucia rytmu, kształcenie słuchu i wyobraźni muzycznej 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Kształtowanie umiejętności interpretacyjnych 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Rozwijanie umiejętności czytania nut i muzykowania zespołowego 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 xml:space="preserve">Rozwijanie umiejętności samodzielnej pracy w domu </w:t>
      </w:r>
    </w:p>
    <w:p w:rsidR="00607942" w:rsidRPr="008A10D7" w:rsidRDefault="00607942" w:rsidP="008A10D7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8A10D7">
        <w:rPr>
          <w:rFonts w:asciiTheme="minorHAnsi" w:hAnsiTheme="minorHAnsi"/>
          <w:color w:val="000000" w:themeColor="text1"/>
          <w:sz w:val="24"/>
          <w:szCs w:val="24"/>
        </w:rPr>
        <w:t>Wyrabianie opanowania estradowego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ahoma"/>
          <w:color w:val="000000"/>
          <w:sz w:val="24"/>
          <w:szCs w:val="24"/>
          <w:lang w:eastAsia="pl-PL"/>
        </w:rPr>
        <w:t xml:space="preserve">Dostarczanie przeżyć estetycznych szerokim kręgom dzieci młodzieży i dorosłym.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ahoma"/>
          <w:color w:val="000000"/>
          <w:sz w:val="24"/>
          <w:szCs w:val="24"/>
          <w:lang w:eastAsia="pl-PL"/>
        </w:rPr>
        <w:t xml:space="preserve">Przyzwyczajanie się do wzbogacania życia kulturalnego szkoły i środowiska.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ahoma"/>
          <w:color w:val="000000"/>
          <w:sz w:val="24"/>
          <w:szCs w:val="24"/>
          <w:lang w:eastAsia="pl-PL"/>
        </w:rPr>
        <w:t xml:space="preserve">Opanowanie różnorodnego repertuaru związanego z kalendarzem imprez szkolnych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ahoma"/>
          <w:color w:val="000000"/>
          <w:sz w:val="24"/>
          <w:szCs w:val="24"/>
          <w:lang w:eastAsia="pl-PL"/>
        </w:rPr>
        <w:t xml:space="preserve">Organizowanie występów podczas imprez szkolnych.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ahoma"/>
          <w:color w:val="000000"/>
          <w:sz w:val="24"/>
          <w:szCs w:val="24"/>
          <w:lang w:eastAsia="pl-PL"/>
        </w:rPr>
        <w:t xml:space="preserve">Przygotowanie zespołu do udziału w różnego rodzaju imprezach środowiskowych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lastRenderedPageBreak/>
        <w:t xml:space="preserve">Rozwijanie umiejętności słuchania, postrzegania, przeżywania i rozumienia muzyki.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 xml:space="preserve">Rozbudzanie potrzeb kulturalnych uczniów.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 xml:space="preserve">Rozwijanie słuchu muzycznego harmonicznego, wysokościowego i poczucia rytmu.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 xml:space="preserve">Kształtowanie smaku artystycznego i formułowania ocen estetycznych.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 xml:space="preserve">Tworzenie trwałych nawyków obcowania z muzyką.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 xml:space="preserve">Wzmacnianie cierpliwości, systematyczności, bezinteresowności. </w:t>
      </w:r>
    </w:p>
    <w:p w:rsidR="00607942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 xml:space="preserve">Przygotowanie do publicznych występów. </w:t>
      </w:r>
    </w:p>
    <w:p w:rsidR="00B416E9" w:rsidRPr="008A10D7" w:rsidRDefault="00607942" w:rsidP="008A10D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A10D7">
        <w:rPr>
          <w:rFonts w:eastAsia="Times New Roman" w:cs="Times New Roman"/>
          <w:sz w:val="24"/>
          <w:szCs w:val="24"/>
          <w:lang w:eastAsia="pl-PL"/>
        </w:rPr>
        <w:t>Praca dla dobrego wizerunku szkoły.</w:t>
      </w:r>
    </w:p>
    <w:p w:rsidR="00B416E9" w:rsidRPr="008A10D7" w:rsidRDefault="00B416E9" w:rsidP="008A10D7">
      <w:pPr>
        <w:pStyle w:val="Akapitzlist"/>
        <w:spacing w:after="0" w:line="240" w:lineRule="auto"/>
        <w:ind w:left="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607942" w:rsidRPr="008A10D7" w:rsidRDefault="00607942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b/>
        </w:rPr>
      </w:pPr>
      <w:r w:rsidRPr="008A10D7">
        <w:rPr>
          <w:b/>
        </w:rPr>
        <w:t>ZAGADNIENIA NAUKI GRY NA GITARZE: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Postawa grającego na gitarze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Wydobywanie dźwięków prawą ręką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Wartości nut: półnuta, ćwierćnuta, ósemka, półnuta z kropką, cała nuta, szesnastka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Grupy rytmiczne: ćwierćnuta z kropka i ósemka, ósemka z kropką i szesnastka, ósemka i dwie szesnastki, cztery szesnastki, triola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 xml:space="preserve">Rodzaje metrum: dwumiarowe, trójmiarowe, czteromiarowe, sześciomiarowe, 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Zapis nut na pięciolinii, klucz wiolinowy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 xml:space="preserve">Dźwięki: g, a, h, c’, d’, e, f,  A, H, C, c, e’, f’, g’, E, F, G,  b, B, fis’, fis, Fis, es, es’, cis’, cis, as, as’, As, des, des’, gis, gis’, Gis, dis, dis’, 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Skracanie strun lewą ręką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Strojenie gitary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Pauzy: ćwierćnutowa, półnutowa, ósemkowa, szesnastkowa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Wydobywanie dźwięków kciukiem prawej ręki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Dwudźwięki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Dobieranie akompaniamentu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Trójdźwięki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Synkopa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Triada- Tonika, Subdominanta i Dominanta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Poprzeczka Barre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Czterodźwięki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Chwyty gitarowe, akordy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Pięciodźwięki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Arpeggio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Przedtakt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Sześciodźwięki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Transpozycja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Akordy zmniejszone</w:t>
      </w:r>
    </w:p>
    <w:p w:rsidR="00607942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Schematy harmoniczne</w:t>
      </w:r>
    </w:p>
    <w:p w:rsidR="002930DD" w:rsidRPr="008A10D7" w:rsidRDefault="00607942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Symbole i chwyty akordów</w:t>
      </w:r>
    </w:p>
    <w:p w:rsidR="00E101D7" w:rsidRPr="008A10D7" w:rsidRDefault="00E101D7" w:rsidP="008A10D7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 w:rsidRPr="008A10D7">
        <w:t>Granie różnych utworów z podanej niżej literatury na miarę zdolności i możliwości ucznia.</w:t>
      </w:r>
    </w:p>
    <w:p w:rsidR="00607942" w:rsidRPr="008A10D7" w:rsidRDefault="00607942" w:rsidP="008A10D7">
      <w:pPr>
        <w:spacing w:after="0" w:line="240" w:lineRule="auto"/>
      </w:pPr>
    </w:p>
    <w:p w:rsidR="00607942" w:rsidRPr="008A10D7" w:rsidRDefault="00607942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b/>
        </w:rPr>
      </w:pPr>
      <w:r w:rsidRPr="008A10D7">
        <w:rPr>
          <w:b/>
        </w:rPr>
        <w:t>ZAGADNIENIA NAUKI GRY NA KEYBOARDZIE: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Przygotowanie keyboardu do gry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Wartości nut: półnuta, ćwierćnuta, ósemka, półnuta z kropką, cała nuta, szesnastka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Zapis nut na pięciolinii, klucz wiolinowy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 xml:space="preserve">Rodzaje metrum: dwumiarowe, trójmiarowe, czteromiarowe, sześciomiarowe, 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Tryb voice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Dźwięki: g, a, h, c’, d’, e, f, c, e’, f’, g’,  b, fis’, fis, es, es’, cis’, cis, as, as’, des, des’, gis, gis’, dis, dis’, a”, h”, fis”, c”’, b”, cis”, cis”’, es’, dis”, d”’, c’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Akompaniament melodyczny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lastRenderedPageBreak/>
        <w:t>Tryb style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Triada- Tonika, Subdominanta i Dominanta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Akompaniament rytmiczny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Synkopa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Przedtakt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Pauzy: ćwierćnutowa, półnutowa, ósemkowa, szesnastkowa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Transpozycja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Grupy rytmiczne: ćwierćnuta z kropka i ósemka, ósemka z kropką i szesnastka, ósemka i dwie szesnastki, cztery szesnastki, triola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Dźwięki obce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Tryb song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Efekt harmony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Dźwięki keyboardu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Schematy harmoniczne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Funkcja transpoze</w:t>
      </w:r>
    </w:p>
    <w:p w:rsidR="00607942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Tonacje durowe: C, F, G, B, D,</w:t>
      </w:r>
    </w:p>
    <w:p w:rsidR="00D93258" w:rsidRPr="008A10D7" w:rsidRDefault="00607942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Tonacje molowe: a, d, e, g, h,</w:t>
      </w:r>
    </w:p>
    <w:p w:rsidR="008A10D7" w:rsidRPr="008A10D7" w:rsidRDefault="008A10D7" w:rsidP="008A10D7">
      <w:pPr>
        <w:pStyle w:val="Akapitzlist"/>
        <w:numPr>
          <w:ilvl w:val="0"/>
          <w:numId w:val="5"/>
        </w:numPr>
        <w:spacing w:after="0" w:line="240" w:lineRule="auto"/>
        <w:ind w:left="0" w:firstLine="0"/>
      </w:pPr>
      <w:r w:rsidRPr="008A10D7">
        <w:t>Granie różnych utworów z podanej niżej literatury na miarę zdolności i możliwości ucznia.</w:t>
      </w:r>
    </w:p>
    <w:p w:rsidR="00E101D7" w:rsidRPr="008A10D7" w:rsidRDefault="00E101D7" w:rsidP="008A10D7">
      <w:pPr>
        <w:pStyle w:val="Akapitzlist"/>
        <w:spacing w:after="0" w:line="240" w:lineRule="auto"/>
        <w:ind w:left="0"/>
      </w:pPr>
    </w:p>
    <w:p w:rsidR="00D93258" w:rsidRPr="008A10D7" w:rsidRDefault="00D93258" w:rsidP="008A10D7">
      <w:pPr>
        <w:spacing w:after="0" w:line="240" w:lineRule="auto"/>
      </w:pPr>
    </w:p>
    <w:p w:rsidR="00D93258" w:rsidRPr="008A10D7" w:rsidRDefault="00D93258" w:rsidP="008A10D7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b/>
        </w:rPr>
      </w:pPr>
      <w:r w:rsidRPr="008A10D7">
        <w:rPr>
          <w:b/>
        </w:rPr>
        <w:t xml:space="preserve"> BIBLIOGRAFIA.</w:t>
      </w:r>
    </w:p>
    <w:p w:rsidR="00D93258" w:rsidRPr="008A10D7" w:rsidRDefault="00D93258" w:rsidP="008A10D7">
      <w:pPr>
        <w:spacing w:after="0" w:line="240" w:lineRule="auto"/>
        <w:rPr>
          <w:b/>
        </w:rPr>
      </w:pPr>
    </w:p>
    <w:p w:rsidR="00D93258" w:rsidRPr="008A10D7" w:rsidRDefault="00D93258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>Jerzy Dyląg</w:t>
      </w:r>
      <w:r w:rsidR="00E101D7" w:rsidRPr="008A10D7">
        <w:t xml:space="preserve"> </w:t>
      </w:r>
      <w:r w:rsidRPr="008A10D7">
        <w:t xml:space="preserve"> „Nauka gry na gitarze</w:t>
      </w:r>
      <w:r w:rsidR="00E101D7" w:rsidRPr="008A10D7">
        <w:t>”</w:t>
      </w:r>
    </w:p>
    <w:p w:rsidR="00D93258" w:rsidRPr="008A10D7" w:rsidRDefault="00D93258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>J. Dyląg, A. Czyżowski, A. Porzucek, P. Szafarski „Podstawy gry na keyboardzie”</w:t>
      </w:r>
    </w:p>
    <w:p w:rsidR="00D93258" w:rsidRPr="008A10D7" w:rsidRDefault="00D93258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>Anna Maria Klechniowska  „Szkoła na fortepian”</w:t>
      </w:r>
    </w:p>
    <w:p w:rsidR="00D93258" w:rsidRPr="008A10D7" w:rsidRDefault="00D93258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>Dawid Harrison „Gitara”</w:t>
      </w:r>
    </w:p>
    <w:p w:rsidR="00D93258" w:rsidRPr="008A10D7" w:rsidRDefault="00F85456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>Miesięcznik „Zagraj to sam”</w:t>
      </w:r>
    </w:p>
    <w:p w:rsidR="00E101D7" w:rsidRPr="008A10D7" w:rsidRDefault="00E101D7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>Małgorzata Biskupska, David Bruce „Ja i pianino”</w:t>
      </w:r>
    </w:p>
    <w:p w:rsidR="00E101D7" w:rsidRPr="008A10D7" w:rsidRDefault="00E101D7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 xml:space="preserve">Tatiana </w:t>
      </w:r>
      <w:proofErr w:type="spellStart"/>
      <w:r w:rsidRPr="008A10D7">
        <w:t>Stachak</w:t>
      </w:r>
      <w:proofErr w:type="spellEnd"/>
      <w:r w:rsidRPr="008A10D7">
        <w:t xml:space="preserve"> „Gitara pierwsza klasa”</w:t>
      </w:r>
    </w:p>
    <w:p w:rsidR="00E101D7" w:rsidRDefault="00E101D7" w:rsidP="008A10D7">
      <w:pPr>
        <w:pStyle w:val="Akapitzlist"/>
        <w:numPr>
          <w:ilvl w:val="0"/>
          <w:numId w:val="8"/>
        </w:numPr>
        <w:spacing w:after="0" w:line="240" w:lineRule="auto"/>
        <w:ind w:left="0" w:firstLine="0"/>
      </w:pPr>
      <w:r w:rsidRPr="008A10D7">
        <w:t xml:space="preserve">Mirosław </w:t>
      </w:r>
      <w:proofErr w:type="spellStart"/>
      <w:r w:rsidRPr="008A10D7">
        <w:t>Drożdżowski</w:t>
      </w:r>
      <w:proofErr w:type="spellEnd"/>
      <w:r w:rsidRPr="008A10D7">
        <w:t xml:space="preserve">  „Dźwiękiem malowane”</w:t>
      </w:r>
    </w:p>
    <w:p w:rsidR="008A10D7" w:rsidRPr="008A10D7" w:rsidRDefault="008A10D7" w:rsidP="008A10D7">
      <w:pPr>
        <w:pStyle w:val="Akapitzlist"/>
        <w:spacing w:after="0" w:line="240" w:lineRule="auto"/>
        <w:ind w:left="0"/>
      </w:pPr>
    </w:p>
    <w:p w:rsidR="00446957" w:rsidRPr="008A10D7" w:rsidRDefault="00446957" w:rsidP="008A10D7">
      <w:pPr>
        <w:spacing w:after="0" w:line="240" w:lineRule="auto"/>
      </w:pPr>
    </w:p>
    <w:p w:rsidR="00E101D7" w:rsidRPr="008A10D7" w:rsidRDefault="00E101D7" w:rsidP="008A10D7">
      <w:pPr>
        <w:spacing w:after="0" w:line="240" w:lineRule="auto"/>
      </w:pPr>
    </w:p>
    <w:p w:rsidR="00E101D7" w:rsidRPr="008A10D7" w:rsidRDefault="00E101D7" w:rsidP="008A10D7">
      <w:pPr>
        <w:spacing w:after="0" w:line="240" w:lineRule="auto"/>
      </w:pPr>
    </w:p>
    <w:p w:rsidR="00E101D7" w:rsidRPr="008A10D7" w:rsidRDefault="00E101D7" w:rsidP="008A10D7">
      <w:pPr>
        <w:spacing w:after="0" w:line="240" w:lineRule="auto"/>
      </w:pPr>
    </w:p>
    <w:p w:rsidR="00E101D7" w:rsidRPr="008A10D7" w:rsidRDefault="00E101D7" w:rsidP="008A10D7">
      <w:pPr>
        <w:spacing w:after="0" w:line="240" w:lineRule="auto"/>
      </w:pPr>
    </w:p>
    <w:p w:rsidR="00E101D7" w:rsidRPr="008A10D7" w:rsidRDefault="00E101D7" w:rsidP="008A10D7">
      <w:pPr>
        <w:spacing w:after="0" w:line="240" w:lineRule="auto"/>
        <w:jc w:val="right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8A10D7">
        <w:rPr>
          <w:rFonts w:eastAsia="Times New Roman" w:cs="Tahoma"/>
          <w:b/>
          <w:i/>
          <w:color w:val="000000"/>
          <w:sz w:val="28"/>
          <w:szCs w:val="28"/>
          <w:lang w:eastAsia="pl-PL"/>
        </w:rPr>
        <w:t>Opracował: Rafał Mordarski</w:t>
      </w:r>
    </w:p>
    <w:sectPr w:rsidR="00E101D7" w:rsidRPr="008A10D7" w:rsidSect="0029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1B" w:rsidRDefault="00211C1B" w:rsidP="009502E2">
      <w:pPr>
        <w:spacing w:after="0" w:line="240" w:lineRule="auto"/>
      </w:pPr>
      <w:r>
        <w:separator/>
      </w:r>
    </w:p>
  </w:endnote>
  <w:endnote w:type="continuationSeparator" w:id="0">
    <w:p w:rsidR="00211C1B" w:rsidRDefault="00211C1B" w:rsidP="0095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2" w:rsidRDefault="009502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259"/>
      <w:docPartObj>
        <w:docPartGallery w:val="Page Numbers (Bottom of Page)"/>
        <w:docPartUnique/>
      </w:docPartObj>
    </w:sdtPr>
    <w:sdtContent>
      <w:p w:rsidR="009502E2" w:rsidRDefault="00A948C3">
        <w:pPr>
          <w:pStyle w:val="Stopka"/>
          <w:jc w:val="right"/>
        </w:pPr>
        <w:fldSimple w:instr=" PAGE   \* MERGEFORMAT ">
          <w:r w:rsidR="00E4534E">
            <w:rPr>
              <w:noProof/>
            </w:rPr>
            <w:t>1</w:t>
          </w:r>
        </w:fldSimple>
      </w:p>
    </w:sdtContent>
  </w:sdt>
  <w:p w:rsidR="009502E2" w:rsidRDefault="009502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2" w:rsidRDefault="00950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1B" w:rsidRDefault="00211C1B" w:rsidP="009502E2">
      <w:pPr>
        <w:spacing w:after="0" w:line="240" w:lineRule="auto"/>
      </w:pPr>
      <w:r>
        <w:separator/>
      </w:r>
    </w:p>
  </w:footnote>
  <w:footnote w:type="continuationSeparator" w:id="0">
    <w:p w:rsidR="00211C1B" w:rsidRDefault="00211C1B" w:rsidP="0095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2" w:rsidRDefault="009502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2" w:rsidRDefault="009502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E2" w:rsidRDefault="009502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67"/>
    <w:multiLevelType w:val="hybridMultilevel"/>
    <w:tmpl w:val="897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3F0A"/>
    <w:multiLevelType w:val="hybridMultilevel"/>
    <w:tmpl w:val="9C04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224C"/>
    <w:multiLevelType w:val="hybridMultilevel"/>
    <w:tmpl w:val="4374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713"/>
    <w:multiLevelType w:val="hybridMultilevel"/>
    <w:tmpl w:val="2CEC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4732E"/>
    <w:multiLevelType w:val="hybridMultilevel"/>
    <w:tmpl w:val="0502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651C3"/>
    <w:multiLevelType w:val="hybridMultilevel"/>
    <w:tmpl w:val="8FAC44F8"/>
    <w:lvl w:ilvl="0" w:tplc="A7D88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82A"/>
    <w:multiLevelType w:val="hybridMultilevel"/>
    <w:tmpl w:val="B9A2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2C0"/>
    <w:multiLevelType w:val="hybridMultilevel"/>
    <w:tmpl w:val="FA54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7E"/>
    <w:rsid w:val="0013501C"/>
    <w:rsid w:val="00211C1B"/>
    <w:rsid w:val="002930DD"/>
    <w:rsid w:val="003D247E"/>
    <w:rsid w:val="00446957"/>
    <w:rsid w:val="00447DD7"/>
    <w:rsid w:val="004F6D7E"/>
    <w:rsid w:val="005250E9"/>
    <w:rsid w:val="0056763F"/>
    <w:rsid w:val="00607942"/>
    <w:rsid w:val="007875AD"/>
    <w:rsid w:val="007D126A"/>
    <w:rsid w:val="008A10D7"/>
    <w:rsid w:val="008A1256"/>
    <w:rsid w:val="009502E2"/>
    <w:rsid w:val="009819B7"/>
    <w:rsid w:val="00A948C3"/>
    <w:rsid w:val="00B33082"/>
    <w:rsid w:val="00B416E9"/>
    <w:rsid w:val="00D04B2C"/>
    <w:rsid w:val="00D373C9"/>
    <w:rsid w:val="00D51920"/>
    <w:rsid w:val="00D7387C"/>
    <w:rsid w:val="00D93258"/>
    <w:rsid w:val="00DB0304"/>
    <w:rsid w:val="00E07B1E"/>
    <w:rsid w:val="00E101D7"/>
    <w:rsid w:val="00E4534E"/>
    <w:rsid w:val="00F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D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7"/>
      <w:szCs w:val="7"/>
      <w:lang w:eastAsia="pl-PL"/>
    </w:rPr>
  </w:style>
  <w:style w:type="character" w:styleId="Pogrubienie">
    <w:name w:val="Strong"/>
    <w:basedOn w:val="Domylnaczcionkaakapitu"/>
    <w:uiPriority w:val="22"/>
    <w:qFormat/>
    <w:rsid w:val="004F6D7E"/>
    <w:rPr>
      <w:b/>
      <w:bCs/>
    </w:rPr>
  </w:style>
  <w:style w:type="paragraph" w:styleId="Akapitzlist">
    <w:name w:val="List Paragraph"/>
    <w:basedOn w:val="Normalny"/>
    <w:uiPriority w:val="34"/>
    <w:qFormat/>
    <w:rsid w:val="004F6D7E"/>
    <w:pPr>
      <w:ind w:left="720"/>
      <w:contextualSpacing/>
    </w:pPr>
  </w:style>
  <w:style w:type="table" w:styleId="Tabela-Siatka">
    <w:name w:val="Table Grid"/>
    <w:basedOn w:val="Standardowy"/>
    <w:uiPriority w:val="59"/>
    <w:rsid w:val="004F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5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2E2"/>
  </w:style>
  <w:style w:type="paragraph" w:styleId="Stopka">
    <w:name w:val="footer"/>
    <w:basedOn w:val="Normalny"/>
    <w:link w:val="StopkaZnak"/>
    <w:uiPriority w:val="99"/>
    <w:unhideWhenUsed/>
    <w:rsid w:val="0095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KĄTY</dc:creator>
  <cp:lastModifiedBy>PSP KĄTY</cp:lastModifiedBy>
  <cp:revision>2</cp:revision>
  <cp:lastPrinted>2010-09-28T09:59:00Z</cp:lastPrinted>
  <dcterms:created xsi:type="dcterms:W3CDTF">2019-07-11T09:59:00Z</dcterms:created>
  <dcterms:modified xsi:type="dcterms:W3CDTF">2019-07-11T09:59:00Z</dcterms:modified>
</cp:coreProperties>
</file>