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69" w:rsidRDefault="005C3869" w:rsidP="00004F48">
      <w:pPr>
        <w:pStyle w:val="Zarkazkladnhotextu"/>
        <w:suppressAutoHyphens/>
        <w:spacing w:after="0"/>
        <w:ind w:left="0"/>
        <w:jc w:val="both"/>
      </w:pPr>
      <w:r w:rsidRPr="00004F48">
        <w:rPr>
          <w:b/>
        </w:rPr>
        <w:t xml:space="preserve">Klasifikácia  </w:t>
      </w:r>
      <w:r w:rsidRPr="00004F48">
        <w:t>je výsledkom komplexného hodnotenia vedomostí, zručností a návykov žiaka.  Základom na pridelenie klasifikačného stupňa sú známky, čiže zaradenie žiaka alebo jeho výkonu do niektorej výkonnostnej skupiny. Vymedzenie klasifikačných stupňov sa opiera o hodno</w:t>
      </w:r>
      <w:r w:rsidR="00EE4B4F">
        <w:t>tenie podľa výkonových kritérií s prihliadnutím na  Metodický pokyn č.21/2011 na hodnotenie a kvalifikáciu žiakov stredných škôl.</w:t>
      </w:r>
    </w:p>
    <w:p w:rsidR="00004F48" w:rsidRPr="00004F48" w:rsidRDefault="00004F48" w:rsidP="00004F48">
      <w:pPr>
        <w:pStyle w:val="Zarkazkladnhotextu"/>
        <w:suppressAutoHyphens/>
        <w:spacing w:after="0"/>
        <w:ind w:left="0"/>
        <w:jc w:val="both"/>
        <w:rPr>
          <w:b/>
        </w:rPr>
      </w:pPr>
    </w:p>
    <w:p w:rsidR="005C3869" w:rsidRDefault="005C3869" w:rsidP="00004F48">
      <w:pPr>
        <w:pStyle w:val="Zarkazkladnhotextu"/>
        <w:suppressAutoHyphens/>
        <w:spacing w:after="0"/>
        <w:ind w:left="0"/>
        <w:jc w:val="both"/>
        <w:rPr>
          <w:b/>
        </w:rPr>
      </w:pPr>
      <w:r w:rsidRPr="00004F48">
        <w:rPr>
          <w:b/>
        </w:rPr>
        <w:t>Stupne prospechu</w:t>
      </w:r>
      <w:r w:rsidR="0071003B">
        <w:rPr>
          <w:b/>
        </w:rPr>
        <w:t xml:space="preserve"> všetkých vyučovacích predmetov </w:t>
      </w:r>
      <w:r w:rsidRPr="00004F48">
        <w:rPr>
          <w:b/>
        </w:rPr>
        <w:t xml:space="preserve"> a celkový prospech</w:t>
      </w:r>
      <w:r w:rsidR="0071003B">
        <w:rPr>
          <w:b/>
        </w:rPr>
        <w:t>:</w:t>
      </w:r>
    </w:p>
    <w:p w:rsidR="0071003B" w:rsidRPr="00004F48" w:rsidRDefault="0071003B" w:rsidP="00004F48">
      <w:pPr>
        <w:pStyle w:val="Zarkazkladnhotextu"/>
        <w:suppressAutoHyphens/>
        <w:spacing w:after="0"/>
        <w:ind w:left="0"/>
        <w:jc w:val="both"/>
        <w:rPr>
          <w:b/>
        </w:rPr>
      </w:pPr>
    </w:p>
    <w:p w:rsidR="005C3869" w:rsidRDefault="005C3869" w:rsidP="00004F48">
      <w:pPr>
        <w:pStyle w:val="Zarkazkladnhotextu"/>
        <w:suppressAutoHyphens/>
        <w:spacing w:after="0"/>
        <w:ind w:left="0"/>
        <w:jc w:val="both"/>
      </w:pPr>
      <w:r w:rsidRPr="00004F48">
        <w:t>Prospech žiaka je v jednotlivých vyučovacích predmetoch klasifikovaný týmito stupňami:</w:t>
      </w:r>
    </w:p>
    <w:p w:rsidR="0071003B" w:rsidRPr="00004F48" w:rsidRDefault="0071003B" w:rsidP="00004F48">
      <w:pPr>
        <w:pStyle w:val="Zarkazkladnhotextu"/>
        <w:suppressAutoHyphens/>
        <w:spacing w:after="0"/>
        <w:ind w:left="0"/>
        <w:jc w:val="both"/>
      </w:pPr>
    </w:p>
    <w:p w:rsidR="005C3869" w:rsidRPr="00004F48" w:rsidRDefault="005C3869" w:rsidP="00004F48">
      <w:pPr>
        <w:pStyle w:val="Zarkazkladnhotextu"/>
        <w:suppressAutoHyphens/>
        <w:spacing w:after="0"/>
        <w:ind w:left="360"/>
        <w:jc w:val="both"/>
      </w:pPr>
      <w:r w:rsidRPr="00004F48">
        <w:t>1 – výborný ( 100%-90%)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2 – chválitebný (89%-75%)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3 – dobrý ( 74%-</w:t>
      </w:r>
      <w:r w:rsidR="00004F48">
        <w:t>60% pre maturitné predmety, 74%-50% - ostatné)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4 – dostatočný</w:t>
      </w:r>
      <w:r w:rsidR="00004F48">
        <w:t xml:space="preserve"> ( 59%-40% pre maturitné predmety, 49%-33% - ostatné)</w:t>
      </w:r>
    </w:p>
    <w:p w:rsidR="00004F48" w:rsidRDefault="00004F48" w:rsidP="00004F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3869" w:rsidRPr="00004F48">
        <w:rPr>
          <w:rFonts w:ascii="Times New Roman" w:hAnsi="Times New Roman" w:cs="Times New Roman"/>
          <w:sz w:val="24"/>
          <w:szCs w:val="24"/>
        </w:rPr>
        <w:t>5 – nedostatočný</w:t>
      </w:r>
      <w:r>
        <w:t xml:space="preserve"> ( 39%-0% pre maturitné predmety, 32%-0% - ostatné)</w:t>
      </w:r>
      <w:r w:rsidRPr="00004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04F48" w:rsidRDefault="00004F48" w:rsidP="00004F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04F48" w:rsidRPr="00004F48" w:rsidRDefault="00004F48" w:rsidP="00004F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4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Príprava didaktických testov, cieľových otázok pre skupinové práce, písomné cvičenia a frontálne skúšanie pripravuje vyučujúci v rámci tematických listov. Po ukončení posledného tematického celku v danom vyučovacom predmete pripraví vyučujúci súborný didaktický test na overenie komplexných vedomostí a zručností žiakov. Otázky v didaktickom teste nesmú prevýšiť stanovenú úroveň vzdelávacích výstupov v jednotlivých tematických celkoch. Kritériá hodnotenia musia byť súčasťou didaktického testu. Žiaci budú s nimi oboznámení pred absolvovaním didaktického testu. Žiak má možnosť didaktický test opakovať, ak bol v prvom didaktickom teste neúspešný. Termín opakovania didaktického testu sa dohodne medzi skúšajúcim a žiakom. Výsledky didaktického testu sú významnou súčasťou </w:t>
      </w:r>
      <w:proofErr w:type="spellStart"/>
      <w:r w:rsidRPr="00004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sumatívneho</w:t>
      </w:r>
      <w:proofErr w:type="spellEnd"/>
      <w:r w:rsidRPr="00004F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hodnotenia a uchovávajú sa za dobu štúdia žiaka v danom ročníku. </w:t>
      </w:r>
    </w:p>
    <w:p w:rsidR="00004F48" w:rsidRPr="00004F48" w:rsidRDefault="00004F48" w:rsidP="00004F48">
      <w:pPr>
        <w:pStyle w:val="Zarkazkladnhotextu"/>
        <w:suppressAutoHyphens/>
        <w:spacing w:after="0"/>
        <w:ind w:left="357"/>
        <w:jc w:val="both"/>
      </w:pPr>
    </w:p>
    <w:p w:rsidR="00004F48" w:rsidRPr="00004F48" w:rsidRDefault="00004F48" w:rsidP="00004F48">
      <w:pPr>
        <w:pStyle w:val="Zarkazkladnhotextu"/>
        <w:suppressAutoHyphens/>
        <w:spacing w:after="0"/>
        <w:ind w:left="0"/>
        <w:jc w:val="both"/>
      </w:pPr>
      <w:r>
        <w:t xml:space="preserve"> </w:t>
      </w:r>
      <w:r w:rsidR="00655B96">
        <w:t xml:space="preserve">Žiak je neklasifikovaný </w:t>
      </w:r>
      <w:r w:rsidRPr="00004F48">
        <w:t xml:space="preserve"> v prípade, ak vyučujúci nemá dostatok podkladov na uzatvorenie klasifikácie. O tejto skutočnosti musí byť informovaný riaditeľ školy. Ak je žiak neklasifikovaný, nedostane vysvedčenie, iba výpis z katalógového listu. O dodatočnej klasifikácii rozhoduje riaditeľ školy v zmysle platnej legislatívy. Maturitná skúška</w:t>
      </w:r>
      <w:r>
        <w:t>/záverečná skúška</w:t>
      </w:r>
      <w:r w:rsidRPr="00004F48">
        <w:t xml:space="preserve"> sa môže opakovať v zmysle právnych predpisov.</w:t>
      </w:r>
    </w:p>
    <w:p w:rsidR="00004F48" w:rsidRPr="00004F48" w:rsidRDefault="00004F48" w:rsidP="00004F48">
      <w:pPr>
        <w:pStyle w:val="Zarkazkladnhotextu"/>
        <w:suppressAutoHyphens/>
        <w:spacing w:after="0"/>
        <w:ind w:left="0"/>
        <w:jc w:val="both"/>
      </w:pPr>
      <w:r w:rsidRPr="00004F48">
        <w:t>Ak má žiak alebo jeho zákonný zástupca pochybnosti o správnosti hodnotenia, môže požiadať riaditeľa školy o komisionálne preskúšanie žiaka. Na základe kritérií hodnotenia sa uskutoční preskúšanie žiaka do 14 dní od doručenia jeho žiadosti prípadne v termíne po vzájomnej dohode medzi žiakom a riaditeľom školy. Komisionálne skúšky prebiehajú v súlade s právnymi predpismi.</w:t>
      </w:r>
    </w:p>
    <w:p w:rsidR="00004F48" w:rsidRPr="00004F48" w:rsidRDefault="00004F48" w:rsidP="00004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F48">
        <w:rPr>
          <w:rFonts w:ascii="Times New Roman" w:hAnsi="Times New Roman" w:cs="Times New Roman"/>
          <w:sz w:val="24"/>
          <w:szCs w:val="24"/>
        </w:rPr>
        <w:t xml:space="preserve">Opravné skúšky určuje riaditeľ školy v súlade s právnym predpisom.  </w:t>
      </w:r>
    </w:p>
    <w:p w:rsidR="005C3869" w:rsidRDefault="005C3869" w:rsidP="00004F48">
      <w:pPr>
        <w:pStyle w:val="Zarkazkladnhotextu"/>
        <w:suppressAutoHyphens/>
        <w:spacing w:after="0"/>
        <w:ind w:left="357"/>
        <w:jc w:val="both"/>
      </w:pPr>
    </w:p>
    <w:p w:rsidR="005C3869" w:rsidRPr="00004F48" w:rsidRDefault="005C3869" w:rsidP="00004F48">
      <w:pPr>
        <w:pStyle w:val="Zarkazkladnhotextu"/>
        <w:suppressAutoHyphens/>
        <w:spacing w:after="0"/>
        <w:ind w:left="0"/>
        <w:jc w:val="both"/>
        <w:rPr>
          <w:b/>
        </w:rPr>
      </w:pPr>
      <w:r w:rsidRPr="00004F48">
        <w:rPr>
          <w:b/>
        </w:rPr>
        <w:t>Správanie žiaka je klasifikované týmito stupňami: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1 – veľmi dobré</w:t>
      </w:r>
    </w:p>
    <w:p w:rsidR="005C3869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2 – uspokojivé</w:t>
      </w:r>
    </w:p>
    <w:p w:rsidR="00004F48" w:rsidRPr="00004F48" w:rsidRDefault="00004F48" w:rsidP="00004F48">
      <w:pPr>
        <w:pStyle w:val="Zarkazkladnhotextu"/>
        <w:suppressAutoHyphens/>
        <w:spacing w:after="0"/>
        <w:ind w:left="357"/>
        <w:jc w:val="both"/>
      </w:pPr>
      <w:r>
        <w:t>3 - menej uspokojivé</w:t>
      </w:r>
    </w:p>
    <w:p w:rsidR="00004F48" w:rsidRDefault="00004F48" w:rsidP="00004F48">
      <w:pPr>
        <w:pStyle w:val="Zarkazkladnhotextu"/>
        <w:suppressAutoHyphens/>
        <w:spacing w:after="0"/>
        <w:ind w:left="0"/>
        <w:jc w:val="both"/>
        <w:rPr>
          <w:b/>
        </w:rPr>
      </w:pPr>
      <w:r>
        <w:t xml:space="preserve">      4</w:t>
      </w:r>
      <w:r w:rsidR="005C3869" w:rsidRPr="00004F48">
        <w:t xml:space="preserve"> – neuspokojivé</w:t>
      </w:r>
      <w:r w:rsidRPr="00004F48">
        <w:rPr>
          <w:b/>
        </w:rPr>
        <w:t xml:space="preserve"> </w:t>
      </w:r>
    </w:p>
    <w:p w:rsidR="00004F48" w:rsidRDefault="00004F48" w:rsidP="00004F48">
      <w:pPr>
        <w:pStyle w:val="Zarkazkladnhotextu"/>
        <w:suppressAutoHyphens/>
        <w:spacing w:after="0"/>
        <w:ind w:left="0"/>
        <w:jc w:val="both"/>
        <w:rPr>
          <w:b/>
        </w:rPr>
      </w:pPr>
    </w:p>
    <w:p w:rsidR="00004F48" w:rsidRPr="00004F48" w:rsidRDefault="00004F48" w:rsidP="00004F48">
      <w:pPr>
        <w:pStyle w:val="Zarkazkladnhotextu"/>
        <w:suppressAutoHyphens/>
        <w:spacing w:after="0"/>
        <w:ind w:left="0"/>
        <w:jc w:val="both"/>
        <w:rPr>
          <w:b/>
        </w:rPr>
      </w:pPr>
      <w:r w:rsidRPr="00004F48">
        <w:rPr>
          <w:b/>
        </w:rPr>
        <w:t>Výchovné opatrenia</w:t>
      </w:r>
    </w:p>
    <w:p w:rsidR="00004F48" w:rsidRPr="00004F48" w:rsidRDefault="00004F48" w:rsidP="00004F48">
      <w:pPr>
        <w:pStyle w:val="Zarkazkladnhotextu"/>
        <w:suppressAutoHyphens/>
        <w:spacing w:after="0"/>
        <w:ind w:left="0"/>
        <w:jc w:val="both"/>
      </w:pPr>
      <w:r w:rsidRPr="00004F48">
        <w:t xml:space="preserve">     Patria sem pochvaly, napomenutia triedneho učiteľa, výstraha triedneho učiteľa, výstraha-pokarhanie riaditeľa školy, podmienečné vylúčenie zo štúdia, vylúčenie zo štúdia. Akékoľvek výchovné opatrenie musí byť okamžite oznámené v písomnej forme rodičom alebo zákonným </w:t>
      </w:r>
      <w:r w:rsidRPr="00004F48">
        <w:lastRenderedPageBreak/>
        <w:t xml:space="preserve">zástupcom žiaka. Opatrenie sa zaznamenáva do katalógového listu žiaka. Neuvádza sa na vysvedčení. 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</w:p>
    <w:p w:rsidR="005C3869" w:rsidRDefault="005C3869" w:rsidP="00004F48">
      <w:pPr>
        <w:pStyle w:val="Zarkazkladnhotextu"/>
        <w:suppressAutoHyphens/>
        <w:spacing w:after="0"/>
        <w:ind w:left="0"/>
        <w:jc w:val="both"/>
        <w:rPr>
          <w:b/>
        </w:rPr>
      </w:pPr>
      <w:r w:rsidRPr="00004F48">
        <w:rPr>
          <w:b/>
        </w:rPr>
        <w:t xml:space="preserve">Žiak na konci prvého a druhého polroku je hodnotený </w:t>
      </w:r>
      <w:r w:rsidR="00004F48">
        <w:rPr>
          <w:b/>
        </w:rPr>
        <w:t xml:space="preserve">celkovým prospechom </w:t>
      </w:r>
      <w:r w:rsidRPr="00004F48">
        <w:rPr>
          <w:b/>
        </w:rPr>
        <w:t>takto:</w:t>
      </w:r>
    </w:p>
    <w:p w:rsidR="00004F48" w:rsidRPr="00004F48" w:rsidRDefault="00004F48" w:rsidP="00004F48">
      <w:pPr>
        <w:pStyle w:val="Zarkazkladnhotextu"/>
        <w:suppressAutoHyphens/>
        <w:spacing w:after="0"/>
        <w:ind w:left="0"/>
        <w:jc w:val="both"/>
        <w:rPr>
          <w:b/>
        </w:rPr>
      </w:pP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- Prospel s vyznamenaním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- Prospel veľmi dobre</w:t>
      </w:r>
    </w:p>
    <w:p w:rsidR="005C3869" w:rsidRPr="00004F48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- Prospel</w:t>
      </w:r>
    </w:p>
    <w:p w:rsidR="005C3869" w:rsidRDefault="005C3869" w:rsidP="00004F48">
      <w:pPr>
        <w:pStyle w:val="Zarkazkladnhotextu"/>
        <w:suppressAutoHyphens/>
        <w:spacing w:after="0"/>
        <w:ind w:left="357"/>
        <w:jc w:val="both"/>
      </w:pPr>
      <w:r w:rsidRPr="00004F48">
        <w:t>- Neprospel</w:t>
      </w:r>
    </w:p>
    <w:p w:rsidR="00004F48" w:rsidRPr="00004F48" w:rsidRDefault="00004F48" w:rsidP="00004F48">
      <w:pPr>
        <w:pStyle w:val="Zarkazkladnhotextu"/>
        <w:suppressAutoHyphens/>
        <w:spacing w:after="0"/>
        <w:ind w:left="357"/>
        <w:jc w:val="both"/>
      </w:pPr>
    </w:p>
    <w:p w:rsidR="005C3869" w:rsidRPr="00004F48" w:rsidRDefault="005C3869" w:rsidP="00004F48">
      <w:pPr>
        <w:pStyle w:val="Zarkazkladnhotextu"/>
        <w:suppressAutoHyphens/>
        <w:spacing w:after="0"/>
        <w:ind w:left="0"/>
        <w:jc w:val="both"/>
      </w:pPr>
    </w:p>
    <w:p w:rsidR="005C3869" w:rsidRPr="00004F48" w:rsidRDefault="005C3869" w:rsidP="00004F48">
      <w:pPr>
        <w:pStyle w:val="Zarkazkladnhotextu"/>
        <w:suppressAutoHyphens/>
        <w:spacing w:after="0"/>
        <w:ind w:left="0"/>
        <w:jc w:val="both"/>
        <w:rPr>
          <w:b/>
        </w:rPr>
      </w:pPr>
      <w:r w:rsidRPr="00004F48">
        <w:rPr>
          <w:b/>
        </w:rPr>
        <w:t xml:space="preserve">Klasifikácia a hodnotenie žiakov so ŠVVP </w:t>
      </w:r>
      <w:r w:rsidRPr="00004F48">
        <w:t>sa robí s prihliadnutím</w:t>
      </w:r>
      <w:r w:rsidRPr="00004F48">
        <w:rPr>
          <w:b/>
        </w:rPr>
        <w:t xml:space="preserve"> </w:t>
      </w:r>
      <w:r w:rsidRPr="00004F48">
        <w:t>na stupeň</w:t>
      </w:r>
      <w:r w:rsidRPr="00004F48">
        <w:rPr>
          <w:b/>
        </w:rPr>
        <w:t xml:space="preserve"> </w:t>
      </w:r>
      <w:r w:rsidRPr="00004F48">
        <w:t xml:space="preserve">poruchy. Vyučujúci rešpektujú </w:t>
      </w:r>
      <w:proofErr w:type="spellStart"/>
      <w:r w:rsidRPr="00004F48">
        <w:t>doporučenia</w:t>
      </w:r>
      <w:proofErr w:type="spellEnd"/>
      <w:r w:rsidRPr="00004F48">
        <w:t xml:space="preserve"> psychologických vyšetrení žiaka a uplatňujú ich pri klasifikácii a hodnotení správania žiaka. Vyberajú vhodné a primerané spôsoby hodnotenia vrátane podkladov na hodnotenie. Uplatňujú také formy a spôsoby skúšania, ktoré zodpovedajú schopnostiam žiaka a nemajú negatívny vplyv na ich rozvoj a psychiku. Volia taký druh prejavu, v ktorom má žiak predpoklady preukázať lepšie výkony. </w:t>
      </w:r>
    </w:p>
    <w:p w:rsidR="005B1C4F" w:rsidRDefault="005B1C4F" w:rsidP="0000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48" w:rsidRDefault="00004F48" w:rsidP="00004F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F48">
        <w:rPr>
          <w:rFonts w:ascii="Times New Roman" w:hAnsi="Times New Roman" w:cs="Times New Roman"/>
          <w:b/>
          <w:sz w:val="24"/>
          <w:szCs w:val="24"/>
        </w:rPr>
        <w:t>Hodnotenie praktickej prípravy žiakov ( odborný výcvik/odborná prax)</w:t>
      </w:r>
    </w:p>
    <w:p w:rsidR="0071003B" w:rsidRDefault="0071003B" w:rsidP="00004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Výkony a praktické zručnosti žiakov sú pravidelne hod</w:t>
      </w:r>
      <w:r w:rsidR="00655B96">
        <w:rPr>
          <w:rFonts w:ascii="Times New Roman" w:hAnsi="Times New Roman" w:cs="Times New Roman"/>
          <w:sz w:val="24"/>
          <w:szCs w:val="24"/>
        </w:rPr>
        <w:t>notené podľa</w:t>
      </w:r>
      <w:r w:rsidR="00765547">
        <w:rPr>
          <w:rFonts w:ascii="Times New Roman" w:hAnsi="Times New Roman" w:cs="Times New Roman"/>
          <w:sz w:val="24"/>
          <w:szCs w:val="24"/>
        </w:rPr>
        <w:t xml:space="preserve"> očakávaných výstupov a kritérií hodnotenia</w:t>
      </w:r>
      <w:r w:rsidR="00655B96">
        <w:rPr>
          <w:rFonts w:ascii="Times New Roman" w:hAnsi="Times New Roman" w:cs="Times New Roman"/>
          <w:sz w:val="24"/>
          <w:szCs w:val="24"/>
        </w:rPr>
        <w:t xml:space="preserve"> uvedených v učebných osnovách</w:t>
      </w:r>
      <w:r w:rsidR="00765547">
        <w:rPr>
          <w:rFonts w:ascii="Times New Roman" w:hAnsi="Times New Roman" w:cs="Times New Roman"/>
          <w:sz w:val="24"/>
          <w:szCs w:val="24"/>
        </w:rPr>
        <w:t xml:space="preserve"> OVY a </w:t>
      </w:r>
      <w:r w:rsidR="00655B96">
        <w:rPr>
          <w:rFonts w:ascii="Times New Roman" w:hAnsi="Times New Roman" w:cs="Times New Roman"/>
          <w:sz w:val="24"/>
          <w:szCs w:val="24"/>
        </w:rPr>
        <w:t>stupnice prospechu na základe Metodického pokynu č. 21/2011</w:t>
      </w:r>
      <w:r w:rsidR="00765547">
        <w:rPr>
          <w:rFonts w:ascii="Times New Roman" w:hAnsi="Times New Roman" w:cs="Times New Roman"/>
          <w:sz w:val="24"/>
          <w:szCs w:val="24"/>
        </w:rPr>
        <w:t>na hodnotenie a klasifikáciu žiakov stredných škôl Čl.18 Klasifikácia odborných vyučovacích predmetov praktického vyučovania, ktoré sú povinní všetci odborní zamestnanci a zmluvní partneri dodržiavať.</w:t>
      </w:r>
    </w:p>
    <w:p w:rsidR="00EE4B4F" w:rsidRDefault="00EE4B4F" w:rsidP="00EE4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Štvrťročne ku klasifikácii MOV v školských dielňach alebo zmluvní partneri hodnotia prospech žiakov pomocou hodnotiacich hárkov.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90"/>
        <w:gridCol w:w="634"/>
        <w:gridCol w:w="1123"/>
        <w:gridCol w:w="1123"/>
        <w:gridCol w:w="960"/>
        <w:gridCol w:w="960"/>
        <w:gridCol w:w="960"/>
      </w:tblGrid>
      <w:tr w:rsidR="00EE4B4F" w:rsidTr="00EE4B4F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tanuló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neve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Dátum: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Iskolaév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  <w:t xml:space="preserve">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Negyedév</w:t>
            </w:r>
            <w:proofErr w:type="spell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Szakcsoport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</w:tr>
      <w:tr w:rsidR="00EE4B4F" w:rsidTr="00EE4B4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40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Mester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Szakoktató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értékelése</w:t>
            </w:r>
            <w:proofErr w:type="spellEnd"/>
          </w:p>
        </w:tc>
      </w:tr>
      <w:tr w:rsidR="00EE4B4F" w:rsidTr="00EE4B4F">
        <w:trPr>
          <w:trHeight w:val="402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Szakmai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tudása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Munkához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való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hozzáálás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Igyekezet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vállalkozó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neve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: .....................................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Aláírása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...................................................</w:t>
            </w:r>
          </w:p>
        </w:tc>
      </w:tr>
      <w:tr w:rsidR="00EE4B4F" w:rsidTr="00EE4B4F">
        <w:trPr>
          <w:trHeight w:val="402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402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40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Vállalkozó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értékelése</w:t>
            </w:r>
            <w:proofErr w:type="spellEnd"/>
          </w:p>
        </w:tc>
      </w:tr>
      <w:tr w:rsidR="00EE4B4F" w:rsidTr="00EE4B4F">
        <w:trPr>
          <w:trHeight w:val="4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Szakmai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tudása</w:t>
            </w:r>
            <w:proofErr w:type="spellEnd"/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Munkához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való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hozzáálás</w:t>
            </w:r>
            <w:proofErr w:type="spellEnd"/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</w:tbl>
    <w:p w:rsidR="00EE4B4F" w:rsidRDefault="00EE4B4F" w:rsidP="00EE4B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B4F" w:rsidRDefault="00EE4B4F" w:rsidP="00EE4B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190"/>
        <w:gridCol w:w="634"/>
        <w:gridCol w:w="1123"/>
        <w:gridCol w:w="1123"/>
        <w:gridCol w:w="960"/>
        <w:gridCol w:w="960"/>
        <w:gridCol w:w="960"/>
      </w:tblGrid>
      <w:tr w:rsidR="00EE4B4F" w:rsidTr="00EE4B4F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Meno a priezvisko žiaka: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Dátum: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Šk.rok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  <w:t>Štvrťrok: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Študijný/učebný odbor:</w:t>
            </w:r>
          </w:p>
        </w:tc>
      </w:tr>
      <w:tr w:rsidR="00EE4B4F" w:rsidTr="00EE4B4F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6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40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Hodnotenie MOV/vyučujúceho OP</w:t>
            </w:r>
          </w:p>
        </w:tc>
      </w:tr>
      <w:tr w:rsidR="00EE4B4F" w:rsidTr="00EE4B4F">
        <w:trPr>
          <w:trHeight w:val="402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Odborné znalosti a zručnosti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Vzťah 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 postoj k práci         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Usilovnosť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, aktivita, kvalita práce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Pracovisko: .......................................... Pečiatka a podpis............................................</w:t>
            </w:r>
          </w:p>
        </w:tc>
      </w:tr>
      <w:tr w:rsidR="00EE4B4F" w:rsidTr="00EE4B4F">
        <w:trPr>
          <w:trHeight w:val="402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402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EE4B4F" w:rsidTr="00EE4B4F">
        <w:trPr>
          <w:trHeight w:val="402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Hodnotenie zmluvného partnera</w:t>
            </w:r>
          </w:p>
        </w:tc>
      </w:tr>
      <w:tr w:rsidR="00EE4B4F" w:rsidTr="00EE4B4F">
        <w:trPr>
          <w:trHeight w:val="4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Odborné znalosti a zručnosti                                             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  <w:tr w:rsidR="00EE4B4F" w:rsidTr="00EE4B4F">
        <w:trPr>
          <w:trHeight w:val="402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Vzťah a  postoj k práci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4B4F" w:rsidRDefault="00EE4B4F">
            <w:pPr>
              <w:spacing w:after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</w:tr>
    </w:tbl>
    <w:p w:rsidR="00EE4B4F" w:rsidRDefault="00EE4B4F" w:rsidP="00EE4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B4F" w:rsidRDefault="00EE4B4F" w:rsidP="00004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B4F" w:rsidSect="005B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869"/>
    <w:rsid w:val="00004F48"/>
    <w:rsid w:val="004F098B"/>
    <w:rsid w:val="005B1C4F"/>
    <w:rsid w:val="005C3869"/>
    <w:rsid w:val="00655B96"/>
    <w:rsid w:val="0071003B"/>
    <w:rsid w:val="00765547"/>
    <w:rsid w:val="00B16557"/>
    <w:rsid w:val="00EE0FEF"/>
    <w:rsid w:val="00E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31990-1DC1-457D-9989-D556946C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C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nhideWhenUsed/>
    <w:rsid w:val="005C3869"/>
    <w:pPr>
      <w:spacing w:after="120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rsid w:val="005C386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6</cp:revision>
  <dcterms:created xsi:type="dcterms:W3CDTF">2018-10-03T13:42:00Z</dcterms:created>
  <dcterms:modified xsi:type="dcterms:W3CDTF">2018-10-05T11:56:00Z</dcterms:modified>
</cp:coreProperties>
</file>