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4097"/>
        <w:jc w:val="both"/>
        <w:rPr/>
      </w:pPr>
      <w:r>
        <w:rPr>
          <w:b/>
          <w:bCs/>
        </w:rPr>
        <w:t xml:space="preserve">Zásady hodnotenia predmetov primárneho vzdelávania </w:t>
      </w:r>
    </w:p>
    <w:p>
      <w:pPr>
        <w:pStyle w:val="style4097"/>
        <w:jc w:val="both"/>
        <w:rPr>
          <w:b/>
          <w:bCs/>
        </w:rPr>
      </w:pPr>
    </w:p>
    <w:p>
      <w:pPr>
        <w:pStyle w:val="style4097"/>
        <w:jc w:val="both"/>
        <w:rPr/>
      </w:pPr>
      <w:r>
        <w:rPr>
          <w:b/>
          <w:bCs/>
        </w:rPr>
        <w:t xml:space="preserve">Slovenský jazyk a literatúra </w:t>
      </w:r>
    </w:p>
    <w:p>
      <w:pPr>
        <w:pStyle w:val="style4097"/>
        <w:jc w:val="both"/>
        <w:rPr/>
      </w:pPr>
    </w:p>
    <w:p>
      <w:pPr>
        <w:pStyle w:val="style4097"/>
        <w:jc w:val="both"/>
        <w:rPr/>
      </w:pPr>
      <w:r>
        <w:t xml:space="preserve">Celkové hodnotenie žiaka v predmete sa </w:t>
      </w:r>
      <w:r>
        <w:t xml:space="preserve">bude </w:t>
      </w:r>
      <w:r>
        <w:t>vykonáva</w:t>
      </w:r>
      <w:r>
        <w:t>ť klasifikáciou. Žiaci budú</w:t>
      </w:r>
      <w:r>
        <w:t xml:space="preserve"> s hodnotením predmetu oboznámení na 1. vyučovacej hodine. </w:t>
      </w:r>
    </w:p>
    <w:p>
      <w:pPr>
        <w:pStyle w:val="style0"/>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 xml:space="preserve">        Vo výchovno-vz</w:t>
      </w:r>
      <w:r>
        <w:rPr>
          <w:rFonts w:ascii="Times New Roman" w:cs="Times New Roman" w:eastAsia="Times New Roman" w:hAnsi="Times New Roman"/>
          <w:sz w:val="24"/>
          <w:szCs w:val="24"/>
          <w:lang w:eastAsia="sk-SK"/>
        </w:rPr>
        <w:t>delávacom procese sa uskutoční</w:t>
      </w:r>
      <w:r>
        <w:rPr>
          <w:rFonts w:ascii="Times New Roman" w:cs="Times New Roman" w:eastAsia="Times New Roman" w:hAnsi="Times New Roman"/>
          <w:sz w:val="24"/>
          <w:szCs w:val="24"/>
          <w:lang w:eastAsia="sk-SK"/>
        </w:rPr>
        <w:t xml:space="preserve"> priebežné a celkové hodnotenie:</w:t>
      </w:r>
    </w:p>
    <w:p>
      <w:pPr>
        <w:pStyle w:val="style0"/>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 priebežné hodnotenie</w:t>
      </w:r>
      <w:r>
        <w:rPr>
          <w:rFonts w:ascii="Times New Roman" w:cs="Times New Roman" w:eastAsia="Times New Roman" w:hAnsi="Times New Roman"/>
          <w:sz w:val="24"/>
          <w:szCs w:val="24"/>
          <w:lang w:eastAsia="sk-SK"/>
        </w:rPr>
        <w:t xml:space="preserve"> sa uskutočňuje pri hodnotení čiastkových výsledkov a prejavov žiaka na vyučovacích hodinách a má hlavne motiva</w:t>
      </w:r>
      <w:r>
        <w:rPr>
          <w:rFonts w:ascii="Times New Roman" w:cs="Times New Roman" w:eastAsia="Times New Roman" w:hAnsi="Times New Roman"/>
          <w:sz w:val="24"/>
          <w:szCs w:val="24"/>
          <w:lang w:eastAsia="sk-SK"/>
        </w:rPr>
        <w:t>čný charakter; učiteľ zohľadní</w:t>
      </w:r>
      <w:r>
        <w:rPr>
          <w:rFonts w:ascii="Times New Roman" w:cs="Times New Roman" w:eastAsia="Times New Roman" w:hAnsi="Times New Roman"/>
          <w:sz w:val="24"/>
          <w:szCs w:val="24"/>
          <w:lang w:eastAsia="sk-SK"/>
        </w:rPr>
        <w:t xml:space="preserve"> vekové a individuálne osobitosti žiaka a prihliada</w:t>
      </w:r>
      <w:r>
        <w:rPr>
          <w:rFonts w:ascii="Times New Roman" w:cs="Times New Roman" w:eastAsia="Times New Roman" w:hAnsi="Times New Roman"/>
          <w:sz w:val="24"/>
          <w:szCs w:val="24"/>
          <w:lang w:eastAsia="sk-SK"/>
        </w:rPr>
        <w:t>ť</w:t>
      </w:r>
      <w:r>
        <w:rPr>
          <w:rFonts w:ascii="Times New Roman" w:cs="Times New Roman" w:eastAsia="Times New Roman" w:hAnsi="Times New Roman"/>
          <w:sz w:val="24"/>
          <w:szCs w:val="24"/>
          <w:lang w:eastAsia="sk-SK"/>
        </w:rPr>
        <w:t xml:space="preserve"> </w:t>
      </w:r>
      <w:r>
        <w:rPr>
          <w:rFonts w:ascii="Times New Roman" w:cs="Times New Roman" w:eastAsia="Times New Roman" w:hAnsi="Times New Roman"/>
          <w:sz w:val="24"/>
          <w:szCs w:val="24"/>
          <w:lang w:eastAsia="sk-SK"/>
        </w:rPr>
        <w:t xml:space="preserve">bude </w:t>
      </w:r>
      <w:r>
        <w:rPr>
          <w:rFonts w:ascii="Times New Roman" w:cs="Times New Roman" w:eastAsia="Times New Roman" w:hAnsi="Times New Roman"/>
          <w:sz w:val="24"/>
          <w:szCs w:val="24"/>
          <w:lang w:eastAsia="sk-SK"/>
        </w:rPr>
        <w:t>na jeho momentálnu ps</w:t>
      </w:r>
      <w:r>
        <w:rPr>
          <w:rFonts w:ascii="Times New Roman" w:cs="Times New Roman" w:eastAsia="Times New Roman" w:hAnsi="Times New Roman"/>
          <w:sz w:val="24"/>
          <w:szCs w:val="24"/>
          <w:lang w:eastAsia="sk-SK"/>
        </w:rPr>
        <w:t>ychickú i fyzickú disponovanosť</w:t>
      </w:r>
    </w:p>
    <w:p>
      <w:pPr>
        <w:pStyle w:val="style0"/>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 celkové hodnotenie</w:t>
      </w:r>
      <w:r>
        <w:rPr>
          <w:rFonts w:ascii="Times New Roman" w:cs="Times New Roman" w:eastAsia="Times New Roman" w:hAnsi="Times New Roman"/>
          <w:sz w:val="24"/>
          <w:szCs w:val="24"/>
          <w:lang w:eastAsia="sk-SK"/>
        </w:rPr>
        <w:t xml:space="preserve"> žiaka v jednotlivých vyučovacíc</w:t>
      </w:r>
      <w:r>
        <w:rPr>
          <w:rFonts w:ascii="Times New Roman" w:cs="Times New Roman" w:eastAsia="Times New Roman" w:hAnsi="Times New Roman"/>
          <w:sz w:val="24"/>
          <w:szCs w:val="24"/>
          <w:lang w:eastAsia="sk-SK"/>
        </w:rPr>
        <w:t>h predmetoch sa usk</w:t>
      </w:r>
      <w:r>
        <w:rPr>
          <w:rFonts w:ascii="Times New Roman" w:cs="Times New Roman" w:eastAsia="Times New Roman" w:hAnsi="Times New Roman"/>
          <w:sz w:val="24"/>
          <w:szCs w:val="24"/>
          <w:lang w:eastAsia="sk-SK"/>
        </w:rPr>
        <w:t>utoční</w:t>
      </w:r>
      <w:r>
        <w:rPr>
          <w:rFonts w:ascii="Times New Roman" w:cs="Times New Roman" w:eastAsia="Times New Roman" w:hAnsi="Times New Roman"/>
          <w:sz w:val="24"/>
          <w:szCs w:val="24"/>
          <w:lang w:eastAsia="sk-SK"/>
        </w:rPr>
        <w:t xml:space="preserve"> na konci prvého polroka a druhého polroka v školskom roku a má čo najobjektívnejšie zhodnotiť úroveň jeho vedomostí, zručností a návy</w:t>
      </w:r>
      <w:r>
        <w:rPr>
          <w:rFonts w:ascii="Times New Roman" w:cs="Times New Roman" w:eastAsia="Times New Roman" w:hAnsi="Times New Roman"/>
          <w:sz w:val="24"/>
          <w:szCs w:val="24"/>
          <w:lang w:eastAsia="sk-SK"/>
        </w:rPr>
        <w:t>kov v danom vyučovacom predmete</w:t>
      </w:r>
    </w:p>
    <w:p>
      <w:pPr>
        <w:pStyle w:val="style0"/>
        <w:spacing w:after="0" w:lineRule="auto" w:line="240"/>
        <w:jc w:val="both"/>
        <w:rPr>
          <w:rFonts w:ascii="Times New Roman" w:cs="Times New Roman" w:eastAsia="Times New Roman" w:hAnsi="Times New Roman"/>
          <w:sz w:val="24"/>
          <w:szCs w:val="24"/>
          <w:lang w:eastAsia="sk-SK"/>
        </w:rPr>
      </w:pPr>
    </w:p>
    <w:p>
      <w:pPr>
        <w:pStyle w:val="style0"/>
        <w:spacing w:after="0" w:lineRule="auto" w:line="240"/>
        <w:jc w:val="both"/>
        <w:rPr>
          <w:rFonts w:ascii="Times New Roman" w:cs="Times New Roman" w:eastAsia="Times New Roman" w:hAnsi="Times New Roman"/>
          <w:b/>
          <w:sz w:val="24"/>
          <w:szCs w:val="24"/>
          <w:lang w:eastAsia="sk-SK"/>
        </w:rPr>
      </w:pPr>
      <w:r>
        <w:rPr>
          <w:rFonts w:ascii="Times New Roman" w:cs="Times New Roman" w:eastAsia="Times New Roman" w:hAnsi="Times New Roman"/>
          <w:b/>
          <w:sz w:val="24"/>
          <w:szCs w:val="24"/>
          <w:lang w:eastAsia="sk-SK"/>
        </w:rPr>
        <w:t>Hodnotenie predmetu</w:t>
      </w:r>
    </w:p>
    <w:p>
      <w:pPr>
        <w:pStyle w:val="style0"/>
        <w:spacing w:after="0" w:lineRule="auto" w:line="240"/>
        <w:jc w:val="both"/>
        <w:rPr>
          <w:rFonts w:ascii="Times New Roman" w:cs="Times New Roman" w:hAnsi="Times New Roman"/>
          <w:sz w:val="24"/>
          <w:szCs w:val="24"/>
        </w:rPr>
      </w:pPr>
      <w:r>
        <w:rPr>
          <w:rFonts w:ascii="Times New Roman" w:cs="Times New Roman" w:eastAsia="Times New Roman" w:hAnsi="Times New Roman"/>
          <w:sz w:val="24"/>
          <w:szCs w:val="24"/>
          <w:lang w:eastAsia="sk-SK"/>
        </w:rPr>
        <w:t xml:space="preserve">              Pri hodnotení vychádzame z Metodického pokynu č. 22/2011 z 1.mája 2011 na hodnotenie žiakov</w:t>
      </w:r>
      <w:r>
        <w:rPr>
          <w:rFonts w:ascii="Times New Roman" w:cs="Times New Roman" w:eastAsia="Times New Roman" w:hAnsi="Times New Roman"/>
          <w:sz w:val="24"/>
          <w:szCs w:val="24"/>
          <w:lang w:eastAsia="sk-SK"/>
        </w:rPr>
        <w:t xml:space="preserve"> základnej školy</w:t>
      </w:r>
      <w:r>
        <w:rPr>
          <w:rFonts w:ascii="Times New Roman" w:cs="Times New Roman" w:eastAsia="Times New Roman" w:hAnsi="Times New Roman"/>
          <w:sz w:val="24"/>
          <w:szCs w:val="24"/>
          <w:lang w:eastAsia="sk-SK"/>
        </w:rPr>
        <w:t>.</w:t>
      </w:r>
    </w:p>
    <w:p>
      <w:pPr>
        <w:pStyle w:val="style0"/>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 xml:space="preserve">Podklady na hodnotenie a klasifikáciu si učiteľ získa: </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sústavným diagnostickým pozorovaním žiaka</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sústavným sledovaním výkonu žiaka a jeho prípravu na vyučovanie</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rôznymi druhmi skúšok – ústne, písomné, grafické, praktické</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analýzou výsledkov rôznych činností žiaka</w:t>
      </w:r>
    </w:p>
    <w:p>
      <w:pPr>
        <w:pStyle w:val="style0"/>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Predmetom hodnotenia a klasifikácie žiakov sú všetky zložky slovenského jazyka. Výstupom je komplexné hodnotenie v klasifikačnom systéme a to jednou známkou. Predmetom hodnotenia v jednotlivých zložkách slovenského jazyka sú:</w:t>
      </w:r>
    </w:p>
    <w:p>
      <w:pPr>
        <w:pStyle w:val="style4097"/>
        <w:jc w:val="both"/>
        <w:rPr/>
      </w:pPr>
    </w:p>
    <w:p>
      <w:pPr>
        <w:pStyle w:val="style0"/>
        <w:spacing w:after="0" w:lineRule="auto" w:line="240"/>
        <w:jc w:val="both"/>
        <w:rPr>
          <w:rFonts w:ascii="Times New Roman" w:cs="Times New Roman" w:eastAsia="Times New Roman" w:hAnsi="Times New Roman"/>
          <w:b/>
          <w:sz w:val="24"/>
          <w:szCs w:val="24"/>
          <w:lang w:eastAsia="sk-SK"/>
        </w:rPr>
      </w:pPr>
      <w:r>
        <w:rPr>
          <w:rFonts w:ascii="Times New Roman" w:cs="Times New Roman" w:eastAsia="Times New Roman" w:hAnsi="Times New Roman"/>
          <w:b/>
          <w:sz w:val="24"/>
          <w:szCs w:val="24"/>
          <w:lang w:eastAsia="sk-SK"/>
        </w:rPr>
        <w:t xml:space="preserve">Jazyková výchova a pravopis </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odpis písaného textu</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prepis tlačeného textu na písaný</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kontrolný diktát</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aplikácia pravopisnej normy s ohľadom na vek žiaka</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vypracovanie testov s otvorenými a zatvorenými otázkami</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samostatnosť v práci</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pracovné listy</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úprava a úhľadnosť písomného prejavu</w:t>
      </w:r>
    </w:p>
    <w:p>
      <w:pPr>
        <w:pStyle w:val="style0"/>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Nácvičné diktáty sa neklasifikujú, píše sa len počet dosiahnutých chýb.</w:t>
      </w:r>
    </w:p>
    <w:p>
      <w:pPr>
        <w:pStyle w:val="style0"/>
        <w:spacing w:after="0" w:lineRule="auto" w:line="240"/>
        <w:jc w:val="both"/>
        <w:rPr>
          <w:rFonts w:ascii="Times New Roman" w:cs="Times New Roman" w:eastAsia="Times New Roman" w:hAnsi="Times New Roman"/>
          <w:sz w:val="24"/>
          <w:szCs w:val="24"/>
          <w:lang w:eastAsia="sk-SK"/>
        </w:rPr>
      </w:pPr>
    </w:p>
    <w:p>
      <w:pPr>
        <w:pStyle w:val="style0"/>
        <w:spacing w:after="0" w:lineRule="auto" w:line="240"/>
        <w:jc w:val="both"/>
        <w:rPr>
          <w:rFonts w:ascii="Times New Roman" w:cs="Times New Roman" w:eastAsia="Times New Roman" w:hAnsi="Times New Roman"/>
          <w:b/>
          <w:sz w:val="24"/>
          <w:szCs w:val="24"/>
          <w:lang w:eastAsia="sk-SK"/>
        </w:rPr>
      </w:pPr>
      <w:r>
        <w:rPr>
          <w:rFonts w:ascii="Times New Roman" w:cs="Times New Roman" w:eastAsia="Times New Roman" w:hAnsi="Times New Roman"/>
          <w:b/>
          <w:sz w:val="24"/>
          <w:szCs w:val="24"/>
          <w:lang w:eastAsia="sk-SK"/>
        </w:rPr>
        <w:t>Slohový výcvik</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tvorba viet v súvislom jazykovom prejave, verbálna komunikácia, ústny prejav</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komunikačné zručnosti</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verejná prezentácia a verejný prejav</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vyjadrovanie postojov</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aplikovanie zásad spoločenského styku</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samostatnosť v práci</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reprodukcia textu</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iné aktivity</w:t>
      </w:r>
    </w:p>
    <w:p>
      <w:pPr>
        <w:pStyle w:val="style0"/>
        <w:spacing w:after="0" w:lineRule="auto" w:line="240"/>
        <w:jc w:val="both"/>
        <w:rPr>
          <w:rFonts w:ascii="Times New Roman" w:cs="Times New Roman" w:eastAsia="Times New Roman" w:hAnsi="Times New Roman"/>
          <w:sz w:val="24"/>
          <w:szCs w:val="24"/>
          <w:lang w:eastAsia="sk-SK"/>
        </w:rPr>
      </w:pPr>
    </w:p>
    <w:p>
      <w:pPr>
        <w:pStyle w:val="style0"/>
        <w:spacing w:after="0" w:lineRule="auto" w:line="240"/>
        <w:jc w:val="both"/>
        <w:rPr>
          <w:rFonts w:ascii="Times New Roman" w:cs="Times New Roman" w:eastAsia="Times New Roman" w:hAnsi="Times New Roman"/>
          <w:b/>
          <w:sz w:val="24"/>
          <w:szCs w:val="24"/>
          <w:lang w:eastAsia="sk-SK"/>
        </w:rPr>
      </w:pPr>
      <w:r>
        <w:rPr>
          <w:rFonts w:ascii="Times New Roman" w:cs="Times New Roman" w:eastAsia="Times New Roman" w:hAnsi="Times New Roman"/>
          <w:b/>
          <w:sz w:val="24"/>
          <w:szCs w:val="24"/>
          <w:lang w:eastAsia="sk-SK"/>
        </w:rPr>
        <w:t>Čítanie a literárna výchova</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stupeň zvládnutia techniky plynulého čítania, hlasné, tiché čítanie</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čítanie s porozumením</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reprodukcia textu a voľba výrazových prostriedkov</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orientácia v známom literárnom texte, práca s textom, reprodukcia textu</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záujem o literatúru</w:t>
      </w:r>
    </w:p>
    <w:p>
      <w:pPr>
        <w:pStyle w:val="style0"/>
        <w:spacing w:after="0" w:lineRule="auto" w:line="240"/>
        <w:ind w:left="720"/>
        <w:jc w:val="both"/>
        <w:rPr>
          <w:rFonts w:ascii="Times New Roman" w:cs="Times New Roman" w:eastAsia="Times New Roman" w:hAnsi="Times New Roman"/>
          <w:sz w:val="24"/>
          <w:szCs w:val="24"/>
          <w:lang w:eastAsia="sk-SK"/>
        </w:rPr>
      </w:pPr>
    </w:p>
    <w:p>
      <w:pPr>
        <w:pStyle w:val="style0"/>
        <w:spacing w:after="0" w:lineRule="auto" w:line="240"/>
        <w:jc w:val="both"/>
        <w:rPr>
          <w:rFonts w:ascii="Times New Roman" w:cs="Times New Roman" w:eastAsia="Times New Roman" w:hAnsi="Times New Roman"/>
          <w:b/>
          <w:sz w:val="24"/>
          <w:szCs w:val="24"/>
          <w:lang w:eastAsia="sk-SK"/>
        </w:rPr>
      </w:pPr>
      <w:r>
        <w:rPr>
          <w:rFonts w:ascii="Times New Roman" w:cs="Times New Roman" w:eastAsia="Times New Roman" w:hAnsi="Times New Roman"/>
          <w:b/>
          <w:sz w:val="24"/>
          <w:szCs w:val="24"/>
          <w:lang w:eastAsia="sk-SK"/>
        </w:rPr>
        <w:t>Písanie</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tvary a výška písma s ohľadom na požadovanú normu</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estetika a úhľadnosť písomného prejavu</w:t>
      </w:r>
    </w:p>
    <w:p>
      <w:pPr>
        <w:pStyle w:val="style179"/>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hAnsi="Times New Roman"/>
          <w:sz w:val="24"/>
          <w:szCs w:val="24"/>
        </w:rPr>
        <w:t xml:space="preserve"> písomné zručnosti, hygienické a p</w:t>
      </w:r>
      <w:r>
        <w:rPr>
          <w:rFonts w:ascii="Times New Roman" w:cs="Times New Roman" w:hAnsi="Times New Roman"/>
          <w:sz w:val="24"/>
          <w:szCs w:val="24"/>
        </w:rPr>
        <w:t>racovné návyky, dodržiavanie  základných parametrov</w:t>
      </w:r>
      <w:r>
        <w:rPr>
          <w:rFonts w:ascii="Times New Roman" w:cs="Times New Roman" w:hAnsi="Times New Roman"/>
          <w:sz w:val="24"/>
          <w:szCs w:val="24"/>
        </w:rPr>
        <w:t xml:space="preserve"> písma (čitateľnosť,</w:t>
      </w:r>
      <w:r>
        <w:rPr>
          <w:rFonts w:ascii="Times New Roman" w:cs="Times New Roman" w:hAnsi="Times New Roman"/>
          <w:sz w:val="24"/>
          <w:szCs w:val="24"/>
        </w:rPr>
        <w:t xml:space="preserve"> úhľadnosť, primeraná rýchlosť)</w:t>
      </w:r>
    </w:p>
    <w:p>
      <w:pPr>
        <w:pStyle w:val="style4097"/>
        <w:jc w:val="both"/>
        <w:rPr/>
      </w:pPr>
      <w:r>
        <w:t xml:space="preserve">V každej zložke budeme hodnotiť </w:t>
      </w:r>
      <w:r>
        <w:t xml:space="preserve">nielen dosahovanie výsledkov v povinných prácach – kontrolný diktát, pravopisné cvičenia, päťminútovky, previerky, písomná práca, ale sledovať budeme aj ústny prejav, aktivitu, zapojenie do súťaží, komunikatívnosť, individuálnu a skupinovú prácu pri riešení úloh, projekty a ich verejná prezentácia. </w:t>
      </w:r>
    </w:p>
    <w:p>
      <w:pPr>
        <w:pStyle w:val="style0"/>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Každá známka, ktorú žiak dostane musí byť zdôvodnená  a doplnená informáciou, ktorá ukáže žiakovi cestu napredovania a postupného zlepšovania. Hodnotenia žiaka učiteľom by mali byť obohatené pochvalou za zlepšenie alebo dobrý výkon. Je to stimul, ktorý mot</w:t>
      </w:r>
      <w:r>
        <w:rPr>
          <w:rFonts w:ascii="Times New Roman" w:cs="Times New Roman" w:eastAsia="Times New Roman" w:hAnsi="Times New Roman"/>
          <w:sz w:val="24"/>
          <w:szCs w:val="24"/>
          <w:lang w:eastAsia="sk-SK"/>
        </w:rPr>
        <w:t xml:space="preserve">ivačne pôsobí </w:t>
      </w:r>
      <w:r>
        <w:rPr>
          <w:rFonts w:ascii="Times New Roman" w:cs="Times New Roman" w:eastAsia="Times New Roman" w:hAnsi="Times New Roman"/>
          <w:sz w:val="24"/>
          <w:szCs w:val="24"/>
          <w:lang w:eastAsia="sk-SK"/>
        </w:rPr>
        <w:t>a aktivizuje. Hodnotenie preto nesmie byť kritikou, ale musí mať motivačný charakter.</w:t>
      </w:r>
    </w:p>
    <w:p>
      <w:pPr>
        <w:pStyle w:val="style0"/>
        <w:autoSpaceDE w:val="false"/>
        <w:autoSpaceDN w:val="false"/>
        <w:adjustRightInd w:val="false"/>
        <w:spacing w:after="0" w:lineRule="auto" w:line="240"/>
        <w:jc w:val="both"/>
        <w:rPr>
          <w:rFonts w:ascii="Times New Roman" w:cs="Times New Roman" w:eastAsia="Times New Roman" w:hAnsi="Times New Roman"/>
          <w:sz w:val="24"/>
          <w:szCs w:val="24"/>
          <w:lang w:eastAsia="sk-SK"/>
        </w:rPr>
      </w:pPr>
    </w:p>
    <w:p>
      <w:pPr>
        <w:pStyle w:val="style4097"/>
        <w:jc w:val="both"/>
        <w:rPr/>
      </w:pPr>
    </w:p>
    <w:p>
      <w:pPr>
        <w:pStyle w:val="style157"/>
        <w:jc w:val="both"/>
        <w:rPr>
          <w:rFonts w:ascii="Times New Roman" w:cs="Times New Roman" w:hAnsi="Times New Roman"/>
          <w:sz w:val="24"/>
          <w:szCs w:val="24"/>
        </w:rPr>
      </w:pPr>
      <w:r>
        <w:rPr>
          <w:rFonts w:ascii="Times New Roman" w:cs="Times New Roman" w:hAnsi="Times New Roman"/>
          <w:sz w:val="24"/>
          <w:szCs w:val="24"/>
        </w:rPr>
        <w:t>V I.</w:t>
      </w:r>
      <w:r>
        <w:rPr>
          <w:rFonts w:ascii="Times New Roman" w:cs="Times New Roman" w:hAnsi="Times New Roman"/>
          <w:sz w:val="24"/>
          <w:szCs w:val="24"/>
        </w:rPr>
        <w:t>- IV. ročníku sa budú pravidelne písať pravopisné cvičenia zamerané na upevňovanie preberaného učiva</w:t>
      </w:r>
      <w:r>
        <w:rPr>
          <w:rFonts w:ascii="Times New Roman" w:cs="Times New Roman" w:hAnsi="Times New Roman"/>
          <w:sz w:val="24"/>
          <w:szCs w:val="24"/>
        </w:rPr>
        <w:t>. V</w:t>
      </w:r>
      <w:r>
        <w:rPr>
          <w:rFonts w:ascii="Times New Roman" w:cs="Times New Roman" w:hAnsi="Times New Roman"/>
          <w:sz w:val="24"/>
          <w:szCs w:val="24"/>
        </w:rPr>
        <w:t xml:space="preserve"> dostatočnom predstihu </w:t>
      </w:r>
      <w:r>
        <w:rPr>
          <w:rFonts w:ascii="Times New Roman" w:cs="Times New Roman" w:hAnsi="Times New Roman"/>
          <w:sz w:val="24"/>
          <w:szCs w:val="24"/>
        </w:rPr>
        <w:t xml:space="preserve">si žiaci </w:t>
      </w:r>
      <w:r>
        <w:rPr>
          <w:rFonts w:ascii="Times New Roman" w:cs="Times New Roman" w:hAnsi="Times New Roman"/>
          <w:sz w:val="24"/>
          <w:szCs w:val="24"/>
        </w:rPr>
        <w:t xml:space="preserve">pravopisné javy precvičia </w:t>
      </w:r>
      <w:r>
        <w:rPr>
          <w:rFonts w:ascii="Times New Roman" w:cs="Times New Roman" w:hAnsi="Times New Roman"/>
          <w:sz w:val="24"/>
          <w:szCs w:val="24"/>
        </w:rPr>
        <w:t xml:space="preserve">v pravopisných cvičeniach, kde sa najprv vyčíslia počty chýb. </w:t>
      </w:r>
    </w:p>
    <w:p>
      <w:pPr>
        <w:pStyle w:val="style157"/>
        <w:jc w:val="both"/>
        <w:rPr>
          <w:rFonts w:ascii="Times New Roman" w:cs="Times New Roman" w:hAnsi="Times New Roman"/>
          <w:sz w:val="24"/>
          <w:szCs w:val="24"/>
        </w:rPr>
      </w:pPr>
      <w:r>
        <w:rPr>
          <w:rFonts w:ascii="Times New Roman" w:cs="Times New Roman" w:hAnsi="Times New Roman"/>
          <w:sz w:val="24"/>
          <w:szCs w:val="24"/>
        </w:rPr>
        <w:t>V II. ročníku je súčasťou hodiny čítania písanie. Učiteľ ho môže vyučovať integrovane s jazykom a slohom, v rámci čítania a literárnej výchovy, alebo samostatne.</w:t>
      </w:r>
    </w:p>
    <w:p>
      <w:pPr>
        <w:pStyle w:val="style157"/>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b/>
      </w:r>
    </w:p>
    <w:p>
      <w:pPr>
        <w:pStyle w:val="style157"/>
        <w:jc w:val="both"/>
        <w:rPr>
          <w:rFonts w:ascii="Times New Roman" w:cs="Times New Roman" w:hAnsi="Times New Roman"/>
          <w:b/>
          <w:sz w:val="24"/>
          <w:szCs w:val="24"/>
        </w:rPr>
      </w:pPr>
      <w:r>
        <w:rPr>
          <w:rFonts w:ascii="Times New Roman" w:cs="Times New Roman" w:hAnsi="Times New Roman"/>
          <w:b/>
          <w:sz w:val="24"/>
          <w:szCs w:val="24"/>
        </w:rPr>
        <w:t>Hodnotiace kritéria na školský rok 2018 / 2019:</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Kontrolný diktát, pravopisné cvičenie  sú  klasifikované stupnicou: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firstRow="0" w:lastRow="0" w:firstColumn="0" w:lastColumn="0" w:noHBand="0" w:noVBand="0"/>
      </w:tblPr>
      <w:tblGrid>
        <w:gridCol w:w="2562"/>
        <w:gridCol w:w="2769"/>
      </w:tblGrid>
      <w:tr>
        <w:trPr>
          <w:trHeight w:val="360"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Počet chýb</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Známka</w:t>
            </w:r>
          </w:p>
        </w:tc>
      </w:tr>
      <w:tr>
        <w:tblPrEx/>
        <w:trPr>
          <w:trHeight w:val="484"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0 – 1</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1</w:t>
            </w:r>
          </w:p>
        </w:tc>
      </w:tr>
      <w:tr>
        <w:tblPrEx/>
        <w:trPr>
          <w:trHeight w:val="471"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2 - 3</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2</w:t>
            </w:r>
          </w:p>
        </w:tc>
      </w:tr>
      <w:tr>
        <w:tblPrEx/>
        <w:trPr>
          <w:trHeight w:val="498"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4 - 7</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3</w:t>
            </w:r>
          </w:p>
        </w:tc>
      </w:tr>
      <w:tr>
        <w:tblPrEx/>
        <w:trPr>
          <w:trHeight w:val="485"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8 - 10</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4</w:t>
            </w:r>
          </w:p>
        </w:tc>
      </w:tr>
      <w:tr>
        <w:tblPrEx/>
        <w:trPr>
          <w:trHeight w:val="526"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11 a viac</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5</w:t>
            </w:r>
          </w:p>
        </w:tc>
      </w:tr>
    </w:tbl>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Päťminútovky (10 slov)  - klasifikačná stupnica:</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firstRow="0" w:lastRow="0" w:firstColumn="0" w:lastColumn="0" w:noHBand="0" w:noVBand="0"/>
      </w:tblPr>
      <w:tblGrid>
        <w:gridCol w:w="2534"/>
        <w:gridCol w:w="2811"/>
      </w:tblGrid>
      <w:tr>
        <w:trPr>
          <w:trHeight w:val="290" w:hRule="atLeast"/>
        </w:trPr>
        <w:tc>
          <w:tcPr>
            <w:tcW w:w="2534"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Počet chýb</w:t>
            </w:r>
          </w:p>
        </w:tc>
        <w:tc>
          <w:tcPr>
            <w:tcW w:w="2811"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Známka</w:t>
            </w:r>
          </w:p>
        </w:tc>
      </w:tr>
      <w:tr>
        <w:tblPrEx/>
        <w:trPr>
          <w:trHeight w:val="333" w:hRule="atLeast"/>
        </w:trPr>
        <w:tc>
          <w:tcPr>
            <w:tcW w:w="2534"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0 </w:t>
            </w:r>
            <w:r>
              <w:rPr>
                <w:rFonts w:ascii="Times New Roman" w:cs="Times New Roman" w:hAnsi="Times New Roman"/>
                <w:sz w:val="24"/>
                <w:szCs w:val="24"/>
              </w:rPr>
              <w:t xml:space="preserve"> - 1</w:t>
            </w:r>
          </w:p>
        </w:tc>
        <w:tc>
          <w:tcPr>
            <w:tcW w:w="2811"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1</w:t>
            </w:r>
          </w:p>
        </w:tc>
      </w:tr>
      <w:tr>
        <w:tblPrEx/>
        <w:trPr>
          <w:trHeight w:val="291" w:hRule="atLeast"/>
        </w:trPr>
        <w:tc>
          <w:tcPr>
            <w:tcW w:w="2534"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2 – 3</w:t>
            </w:r>
          </w:p>
        </w:tc>
        <w:tc>
          <w:tcPr>
            <w:tcW w:w="2811"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2</w:t>
            </w:r>
          </w:p>
        </w:tc>
      </w:tr>
      <w:tr>
        <w:tblPrEx/>
        <w:trPr>
          <w:trHeight w:val="346" w:hRule="atLeast"/>
        </w:trPr>
        <w:tc>
          <w:tcPr>
            <w:tcW w:w="2534"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 xml:space="preserve"> – 5</w:t>
            </w:r>
          </w:p>
        </w:tc>
        <w:tc>
          <w:tcPr>
            <w:tcW w:w="2811"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3</w:t>
            </w:r>
          </w:p>
        </w:tc>
      </w:tr>
      <w:tr>
        <w:tblPrEx/>
        <w:trPr>
          <w:trHeight w:val="401" w:hRule="atLeast"/>
        </w:trPr>
        <w:tc>
          <w:tcPr>
            <w:tcW w:w="2534"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6 – 8</w:t>
            </w:r>
          </w:p>
        </w:tc>
        <w:tc>
          <w:tcPr>
            <w:tcW w:w="2811"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4</w:t>
            </w:r>
          </w:p>
        </w:tc>
      </w:tr>
      <w:tr>
        <w:tblPrEx/>
        <w:trPr>
          <w:trHeight w:val="416" w:hRule="atLeast"/>
        </w:trPr>
        <w:tc>
          <w:tcPr>
            <w:tcW w:w="2534"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9</w:t>
            </w:r>
            <w:r>
              <w:rPr>
                <w:rFonts w:ascii="Times New Roman" w:cs="Times New Roman" w:hAnsi="Times New Roman"/>
                <w:sz w:val="24"/>
                <w:szCs w:val="24"/>
              </w:rPr>
              <w:t xml:space="preserve"> - 10</w:t>
            </w:r>
          </w:p>
        </w:tc>
        <w:tc>
          <w:tcPr>
            <w:tcW w:w="2811"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5</w:t>
            </w:r>
          </w:p>
        </w:tc>
      </w:tr>
    </w:tbl>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Počet písomných prác v I. ročníku: 1 (výstupná)</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Počet písomných prác v II. – IV. ročníku: 3</w:t>
      </w:r>
      <w:r>
        <w:rPr>
          <w:rFonts w:ascii="Times New Roman" w:cs="Times New Roman" w:hAnsi="Times New Roman"/>
          <w:sz w:val="24"/>
          <w:szCs w:val="24"/>
        </w:rPr>
        <w:t xml:space="preserve"> ( </w:t>
      </w:r>
      <w:r>
        <w:rPr>
          <w:rFonts w:ascii="Times New Roman" w:cs="Times New Roman" w:hAnsi="Times New Roman"/>
          <w:sz w:val="24"/>
          <w:szCs w:val="24"/>
        </w:rPr>
        <w:t xml:space="preserve">vstupná, </w:t>
      </w:r>
      <w:r>
        <w:rPr>
          <w:rFonts w:ascii="Times New Roman" w:cs="Times New Roman" w:hAnsi="Times New Roman"/>
          <w:sz w:val="24"/>
          <w:szCs w:val="24"/>
        </w:rPr>
        <w:t>polročná a koncoročná)</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Bude klasifikovaná bodovou percentuálnou bodovou stupnicou schválenou na zasadnutí MZ.</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firstRow="0" w:lastRow="0" w:firstColumn="0" w:lastColumn="0" w:noHBand="0" w:noVBand="0"/>
      </w:tblPr>
      <w:tblGrid>
        <w:gridCol w:w="2562"/>
        <w:gridCol w:w="2769"/>
      </w:tblGrid>
      <w:tr>
        <w:trPr>
          <w:trHeight w:val="360"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Úspešnosť v %</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Známka</w:t>
            </w:r>
          </w:p>
        </w:tc>
      </w:tr>
      <w:tr>
        <w:tblPrEx/>
        <w:trPr>
          <w:trHeight w:val="484"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100 %- 91%</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1</w:t>
            </w:r>
          </w:p>
        </w:tc>
      </w:tr>
      <w:tr>
        <w:tblPrEx/>
        <w:trPr>
          <w:trHeight w:val="471"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90 % - 76%</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2</w:t>
            </w:r>
          </w:p>
        </w:tc>
      </w:tr>
      <w:tr>
        <w:tblPrEx/>
        <w:trPr>
          <w:trHeight w:val="498"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75% - 46%</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3</w:t>
            </w:r>
          </w:p>
        </w:tc>
      </w:tr>
      <w:tr>
        <w:tblPrEx/>
        <w:trPr>
          <w:trHeight w:val="485"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45% - 26%</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4</w:t>
            </w:r>
          </w:p>
        </w:tc>
      </w:tr>
      <w:tr>
        <w:tblPrEx/>
        <w:trPr>
          <w:trHeight w:val="526"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25% - 0%</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5</w:t>
            </w:r>
          </w:p>
        </w:tc>
      </w:tr>
    </w:tbl>
    <w:p>
      <w:pPr>
        <w:pStyle w:val="style0"/>
        <w:spacing w:after="0" w:lineRule="auto" w:line="240"/>
        <w:jc w:val="both"/>
        <w:rPr>
          <w:rFonts w:ascii="Times New Roman" w:cs="Times New Roman" w:hAnsi="Times New Roman"/>
          <w:sz w:val="24"/>
          <w:szCs w:val="24"/>
        </w:rPr>
      </w:pPr>
    </w:p>
    <w:p>
      <w:pPr>
        <w:pStyle w:val="style157"/>
        <w:jc w:val="both"/>
        <w:rPr>
          <w:rFonts w:ascii="Times New Roman" w:cs="Times New Roman" w:hAnsi="Times New Roman"/>
          <w:sz w:val="24"/>
          <w:szCs w:val="24"/>
        </w:rPr>
      </w:pPr>
      <w:r>
        <w:rPr>
          <w:rFonts w:ascii="Times New Roman" w:cs="Times New Roman" w:hAnsi="Times New Roman"/>
          <w:sz w:val="24"/>
          <w:szCs w:val="24"/>
        </w:rPr>
        <w:t>Výsledky výstupných previerok a písomných prác budú porovnané s obsahovými a výkonovými štandardami a ich úspešnosť, prípadne nedostatky budú prehodnotené na zasadnutiach MZ.</w:t>
      </w:r>
    </w:p>
    <w:p>
      <w:pPr>
        <w:pStyle w:val="style0"/>
        <w:spacing w:after="0" w:lineRule="auto" w:line="240"/>
        <w:jc w:val="both"/>
        <w:rPr>
          <w:rFonts w:ascii="Times New Roman" w:cs="Times New Roman" w:hAnsi="Times New Roman"/>
          <w:sz w:val="24"/>
          <w:szCs w:val="24"/>
        </w:rPr>
      </w:pPr>
    </w:p>
    <w:p>
      <w:pPr>
        <w:pStyle w:val="style4097"/>
        <w:jc w:val="both"/>
        <w:rPr/>
      </w:pPr>
      <w:r>
        <w:rPr>
          <w:b/>
          <w:bCs/>
        </w:rPr>
        <w:t xml:space="preserve">Kritériá kontroly a hodnotenia diktátov: </w:t>
      </w:r>
    </w:p>
    <w:p>
      <w:pPr>
        <w:pStyle w:val="style4097"/>
        <w:jc w:val="both"/>
        <w:rPr/>
      </w:pPr>
      <w:r>
        <w:rPr>
          <w:b/>
          <w:bCs/>
        </w:rPr>
        <w:t xml:space="preserve">Počet a zameranie kontrolných diktátov v 1. ročníku ZŠ </w:t>
      </w:r>
    </w:p>
    <w:p>
      <w:pPr>
        <w:pStyle w:val="style4097"/>
        <w:jc w:val="both"/>
        <w:rPr/>
      </w:pPr>
      <w:r>
        <w:t xml:space="preserve">počet: 1 </w:t>
      </w:r>
    </w:p>
    <w:p>
      <w:pPr>
        <w:pStyle w:val="style4097"/>
        <w:jc w:val="both"/>
        <w:rPr/>
      </w:pPr>
      <w:r>
        <w:t xml:space="preserve">Zameranie: opakovanie učiva z 1. ročníka ZŠ </w:t>
      </w:r>
    </w:p>
    <w:p>
      <w:pPr>
        <w:pStyle w:val="style4097"/>
        <w:jc w:val="both"/>
        <w:rPr/>
      </w:pPr>
      <w:r>
        <w:rPr>
          <w:b/>
          <w:bCs/>
        </w:rPr>
        <w:t xml:space="preserve">Počet a zameranie kontrolných diktátov v 2. ročníku: </w:t>
      </w:r>
    </w:p>
    <w:p>
      <w:pPr>
        <w:pStyle w:val="style4097"/>
        <w:jc w:val="both"/>
        <w:rPr/>
      </w:pPr>
      <w:r>
        <w:t xml:space="preserve">počet: 10 </w:t>
      </w:r>
    </w:p>
    <w:p>
      <w:pPr>
        <w:pStyle w:val="style4097"/>
        <w:jc w:val="both"/>
        <w:rPr/>
      </w:pPr>
      <w:r>
        <w:t xml:space="preserve">Zameranie: </w:t>
      </w:r>
    </w:p>
    <w:p>
      <w:pPr>
        <w:pStyle w:val="style4097"/>
        <w:jc w:val="both"/>
        <w:rPr/>
      </w:pPr>
      <w:r>
        <w:t xml:space="preserve">1. Opakovanie učiva z 1. ročníka ZŠ </w:t>
      </w:r>
    </w:p>
    <w:p>
      <w:pPr>
        <w:pStyle w:val="style4097"/>
        <w:jc w:val="both"/>
        <w:rPr/>
      </w:pPr>
      <w:r>
        <w:t xml:space="preserve">2. Hláska a písmeno (ch, </w:t>
      </w:r>
      <w:r>
        <w:t>dz</w:t>
      </w:r>
      <w:r>
        <w:t xml:space="preserve">, </w:t>
      </w:r>
      <w:r>
        <w:t>dž</w:t>
      </w:r>
      <w:r>
        <w:t xml:space="preserve">) </w:t>
      </w:r>
    </w:p>
    <w:p>
      <w:pPr>
        <w:pStyle w:val="style4097"/>
        <w:jc w:val="both"/>
        <w:rPr/>
      </w:pPr>
      <w:r>
        <w:t xml:space="preserve">3. Samohláska ä </w:t>
      </w:r>
    </w:p>
    <w:p>
      <w:pPr>
        <w:pStyle w:val="style4097"/>
        <w:jc w:val="both"/>
        <w:rPr/>
      </w:pPr>
      <w:r>
        <w:t xml:space="preserve">4. Dvojhlásky </w:t>
      </w:r>
    </w:p>
    <w:p>
      <w:pPr>
        <w:pStyle w:val="style4097"/>
        <w:jc w:val="both"/>
        <w:rPr/>
      </w:pPr>
      <w:r>
        <w:t xml:space="preserve">5. Tvrdé spoluhlásky </w:t>
      </w:r>
    </w:p>
    <w:p>
      <w:pPr>
        <w:pStyle w:val="style4097"/>
        <w:jc w:val="both"/>
        <w:rPr/>
      </w:pPr>
      <w:r>
        <w:t xml:space="preserve">6. Opakovanie učiva za 1. polrok </w:t>
      </w:r>
    </w:p>
    <w:p>
      <w:pPr>
        <w:pStyle w:val="style157"/>
        <w:jc w:val="both"/>
        <w:rPr>
          <w:rFonts w:ascii="Times New Roman" w:cs="Times New Roman" w:hAnsi="Times New Roman"/>
          <w:sz w:val="24"/>
          <w:szCs w:val="24"/>
        </w:rPr>
      </w:pPr>
      <w:r>
        <w:rPr>
          <w:rFonts w:ascii="Times New Roman" w:cs="Times New Roman" w:hAnsi="Times New Roman"/>
          <w:sz w:val="24"/>
          <w:szCs w:val="24"/>
        </w:rPr>
        <w:t>7. Mäkké spoluhlásky</w:t>
      </w:r>
    </w:p>
    <w:p>
      <w:pPr>
        <w:pStyle w:val="style4097"/>
        <w:jc w:val="both"/>
        <w:rPr/>
      </w:pPr>
      <w:r>
        <w:t xml:space="preserve">8. Slabiky </w:t>
      </w:r>
      <w:r>
        <w:t>di</w:t>
      </w:r>
      <w:r>
        <w:t xml:space="preserve">, ti, </w:t>
      </w:r>
      <w:r>
        <w:t>ni</w:t>
      </w:r>
      <w:r>
        <w:t xml:space="preserve">, </w:t>
      </w:r>
      <w:r>
        <w:t>li</w:t>
      </w:r>
      <w:r>
        <w:t xml:space="preserve">, </w:t>
      </w:r>
      <w:r>
        <w:t>de</w:t>
      </w:r>
      <w:r>
        <w:t xml:space="preserve">, </w:t>
      </w:r>
      <w:r>
        <w:t>te</w:t>
      </w:r>
      <w:r>
        <w:t xml:space="preserve">, ne, </w:t>
      </w:r>
      <w:r>
        <w:t>le</w:t>
      </w:r>
      <w:r>
        <w:t xml:space="preserve"> </w:t>
      </w:r>
    </w:p>
    <w:p>
      <w:pPr>
        <w:pStyle w:val="style4097"/>
        <w:jc w:val="both"/>
        <w:rPr/>
      </w:pPr>
      <w:r>
        <w:t xml:space="preserve">9. Vety </w:t>
      </w:r>
    </w:p>
    <w:p>
      <w:pPr>
        <w:pStyle w:val="style4097"/>
        <w:jc w:val="both"/>
        <w:rPr/>
      </w:pPr>
      <w:r>
        <w:t xml:space="preserve">10. Opakovanie učiva z 2. ročníka </w:t>
      </w:r>
    </w:p>
    <w:p>
      <w:pPr>
        <w:pStyle w:val="style4097"/>
        <w:jc w:val="both"/>
        <w:rPr/>
      </w:pPr>
      <w:r>
        <w:rPr>
          <w:b/>
          <w:bCs/>
        </w:rPr>
        <w:t>Počet a zameranie kontrolných diktátov v 3. ročníku ZŠ</w:t>
      </w:r>
      <w:r>
        <w:t xml:space="preserve">: </w:t>
      </w:r>
    </w:p>
    <w:p>
      <w:pPr>
        <w:pStyle w:val="style4097"/>
        <w:jc w:val="both"/>
        <w:rPr/>
      </w:pPr>
      <w:r>
        <w:t xml:space="preserve">počet: 10 </w:t>
      </w:r>
    </w:p>
    <w:p>
      <w:pPr>
        <w:pStyle w:val="style4097"/>
        <w:jc w:val="both"/>
        <w:rPr/>
      </w:pPr>
      <w:r>
        <w:t xml:space="preserve">Zameranie: </w:t>
      </w:r>
    </w:p>
    <w:p>
      <w:pPr>
        <w:pStyle w:val="style4097"/>
        <w:jc w:val="both"/>
        <w:rPr/>
      </w:pPr>
      <w:r>
        <w:t xml:space="preserve">1. Opakovanie učiva z 2. ročníka ZŠ </w:t>
      </w:r>
    </w:p>
    <w:p>
      <w:pPr>
        <w:pStyle w:val="style4097"/>
        <w:jc w:val="both"/>
        <w:rPr/>
      </w:pPr>
      <w:r>
        <w:t xml:space="preserve">2. Slová s l, ĺ, r, ŕ </w:t>
      </w:r>
    </w:p>
    <w:p>
      <w:pPr>
        <w:pStyle w:val="style4097"/>
        <w:jc w:val="both"/>
        <w:rPr/>
      </w:pPr>
      <w:r>
        <w:t xml:space="preserve">3. Vybrané slová po b </w:t>
      </w:r>
    </w:p>
    <w:p>
      <w:pPr>
        <w:pStyle w:val="style4097"/>
        <w:jc w:val="both"/>
        <w:rPr/>
      </w:pPr>
      <w:r>
        <w:t xml:space="preserve">4. Vybrané slová po m </w:t>
      </w:r>
    </w:p>
    <w:p>
      <w:pPr>
        <w:pStyle w:val="style4097"/>
        <w:jc w:val="both"/>
        <w:rPr/>
      </w:pPr>
      <w:r>
        <w:t xml:space="preserve">5. Vybrané slová po p </w:t>
      </w:r>
    </w:p>
    <w:p>
      <w:pPr>
        <w:pStyle w:val="style4097"/>
        <w:jc w:val="both"/>
        <w:rPr/>
      </w:pPr>
      <w:r>
        <w:t xml:space="preserve">6. Opakovanie učiva za 1. polrok </w:t>
      </w:r>
    </w:p>
    <w:p>
      <w:pPr>
        <w:pStyle w:val="style4097"/>
        <w:jc w:val="both"/>
        <w:rPr/>
      </w:pPr>
      <w:r>
        <w:t xml:space="preserve">7. Vybrané slová po r, s </w:t>
      </w:r>
    </w:p>
    <w:p>
      <w:pPr>
        <w:pStyle w:val="style4097"/>
        <w:jc w:val="both"/>
        <w:rPr/>
      </w:pPr>
      <w:r>
        <w:t xml:space="preserve">8. Vybrané slová po v, z </w:t>
      </w:r>
    </w:p>
    <w:p>
      <w:pPr>
        <w:pStyle w:val="style4097"/>
        <w:jc w:val="both"/>
        <w:rPr/>
      </w:pPr>
      <w:r>
        <w:t xml:space="preserve">9. Slovné druhy </w:t>
      </w:r>
    </w:p>
    <w:p>
      <w:pPr>
        <w:pStyle w:val="style4097"/>
        <w:jc w:val="both"/>
        <w:rPr/>
      </w:pPr>
      <w:r>
        <w:t xml:space="preserve">10. Opakovanie učiva z 3. ročníka ZŠ </w:t>
      </w:r>
    </w:p>
    <w:p>
      <w:pPr>
        <w:pStyle w:val="style4097"/>
        <w:jc w:val="both"/>
        <w:rPr/>
      </w:pPr>
      <w:r>
        <w:rPr>
          <w:b/>
          <w:bCs/>
        </w:rPr>
        <w:t xml:space="preserve">Počet a zameranie kontrolných diktátov v 4. ročníku ZŠ: </w:t>
      </w:r>
    </w:p>
    <w:p>
      <w:pPr>
        <w:pStyle w:val="style4097"/>
        <w:jc w:val="both"/>
        <w:rPr/>
      </w:pPr>
      <w:r>
        <w:t xml:space="preserve">počet: 10 </w:t>
      </w:r>
    </w:p>
    <w:p>
      <w:pPr>
        <w:pStyle w:val="style4097"/>
        <w:jc w:val="both"/>
        <w:rPr/>
      </w:pPr>
      <w:r>
        <w:t xml:space="preserve">Zameranie: </w:t>
      </w:r>
    </w:p>
    <w:p>
      <w:pPr>
        <w:pStyle w:val="style157"/>
        <w:jc w:val="both"/>
        <w:rPr>
          <w:rFonts w:ascii="Times New Roman" w:cs="Times New Roman" w:hAnsi="Times New Roman"/>
          <w:sz w:val="24"/>
          <w:szCs w:val="24"/>
        </w:rPr>
      </w:pPr>
      <w:r>
        <w:rPr>
          <w:rFonts w:ascii="Times New Roman" w:cs="Times New Roman" w:hAnsi="Times New Roman"/>
          <w:sz w:val="24"/>
          <w:szCs w:val="24"/>
        </w:rPr>
        <w:t>1.Opakovanie učiva z 3. ročníka ZŠ</w:t>
      </w:r>
    </w:p>
    <w:p>
      <w:pPr>
        <w:pStyle w:val="style4097"/>
        <w:jc w:val="both"/>
        <w:rPr/>
      </w:pPr>
      <w:r>
        <w:t xml:space="preserve">2. Vybrané slová po b, m </w:t>
      </w:r>
    </w:p>
    <w:p>
      <w:pPr>
        <w:pStyle w:val="style4097"/>
        <w:jc w:val="both"/>
        <w:rPr/>
      </w:pPr>
      <w:r>
        <w:t xml:space="preserve">3. Vybrané slová po p, r </w:t>
      </w:r>
    </w:p>
    <w:p>
      <w:pPr>
        <w:pStyle w:val="style4097"/>
        <w:jc w:val="both"/>
        <w:rPr/>
      </w:pPr>
      <w:r>
        <w:t xml:space="preserve">4. Vybrané slová po s, v, z </w:t>
      </w:r>
    </w:p>
    <w:p>
      <w:pPr>
        <w:pStyle w:val="style4097"/>
        <w:jc w:val="both"/>
        <w:rPr/>
      </w:pPr>
      <w:r>
        <w:t xml:space="preserve">5. Spodobovanie </w:t>
      </w:r>
    </w:p>
    <w:p>
      <w:pPr>
        <w:pStyle w:val="style4097"/>
        <w:jc w:val="both"/>
        <w:rPr/>
      </w:pPr>
      <w:r>
        <w:t xml:space="preserve">6. Opakovanie učiva za 1. polrok </w:t>
      </w:r>
    </w:p>
    <w:p>
      <w:pPr>
        <w:pStyle w:val="style4097"/>
        <w:jc w:val="both"/>
        <w:rPr/>
      </w:pPr>
      <w:r>
        <w:t xml:space="preserve">7. Vlastné podstatné mená </w:t>
      </w:r>
    </w:p>
    <w:p>
      <w:pPr>
        <w:pStyle w:val="style4097"/>
        <w:jc w:val="both"/>
        <w:rPr/>
      </w:pPr>
      <w:r>
        <w:t xml:space="preserve">8. Ohybné slovné druhy </w:t>
      </w:r>
    </w:p>
    <w:p>
      <w:pPr>
        <w:pStyle w:val="style4097"/>
        <w:jc w:val="both"/>
        <w:rPr/>
      </w:pPr>
      <w:r>
        <w:t xml:space="preserve">9. Neohybné slovné druhy </w:t>
      </w:r>
    </w:p>
    <w:p>
      <w:pPr>
        <w:pStyle w:val="style4097"/>
        <w:jc w:val="both"/>
        <w:rPr/>
      </w:pPr>
      <w:r>
        <w:t xml:space="preserve">10. Opakovanie učiva zo 4. ročníka ZŠ </w:t>
      </w:r>
    </w:p>
    <w:p>
      <w:pPr>
        <w:pStyle w:val="style4097"/>
        <w:jc w:val="both"/>
        <w:rPr/>
      </w:pPr>
      <w:r>
        <w:t xml:space="preserve">Rovnaké chyby v tom istom slove sa pokladajú za jednu chybu, napríklad </w:t>
      </w:r>
      <w:r>
        <w:t>ríchly</w:t>
      </w:r>
      <w:r>
        <w:t xml:space="preserve"> chlapec mal </w:t>
      </w:r>
      <w:r>
        <w:t>ríchly</w:t>
      </w:r>
      <w:r>
        <w:t xml:space="preserve"> krok – (1 chyba). </w:t>
      </w:r>
    </w:p>
    <w:p>
      <w:pPr>
        <w:pStyle w:val="style4097"/>
        <w:jc w:val="both"/>
        <w:rPr>
          <w:b/>
          <w:bCs/>
        </w:rPr>
      </w:pPr>
    </w:p>
    <w:p>
      <w:pPr>
        <w:pStyle w:val="style4097"/>
        <w:jc w:val="both"/>
        <w:rPr/>
      </w:pPr>
      <w:r>
        <w:rPr>
          <w:b/>
          <w:bCs/>
        </w:rPr>
        <w:t xml:space="preserve">Rozsah kontrolných diktátov v jednotlivých ročníkoch: </w:t>
      </w:r>
    </w:p>
    <w:p>
      <w:pPr>
        <w:pStyle w:val="style4097"/>
        <w:jc w:val="both"/>
        <w:rPr/>
      </w:pPr>
      <w:r>
        <w:t xml:space="preserve">1. ročník 10 – 15 plnovýznamových slov </w:t>
      </w:r>
    </w:p>
    <w:p>
      <w:pPr>
        <w:pStyle w:val="style157"/>
        <w:jc w:val="both"/>
        <w:rPr>
          <w:rFonts w:ascii="Times New Roman" w:cs="Times New Roman" w:hAnsi="Times New Roman"/>
          <w:sz w:val="24"/>
          <w:szCs w:val="24"/>
        </w:rPr>
      </w:pPr>
      <w:r>
        <w:rPr>
          <w:rFonts w:ascii="Times New Roman" w:cs="Times New Roman" w:hAnsi="Times New Roman"/>
          <w:sz w:val="24"/>
          <w:szCs w:val="24"/>
        </w:rPr>
        <w:t>2. ročník 20 – 30 plnovýznamových slov</w:t>
      </w:r>
    </w:p>
    <w:p>
      <w:pPr>
        <w:pStyle w:val="style4097"/>
        <w:jc w:val="both"/>
        <w:rPr/>
      </w:pPr>
      <w:r>
        <w:t xml:space="preserve">3. ročník 30 – 40 plnovýznamových slov </w:t>
      </w:r>
    </w:p>
    <w:p>
      <w:pPr>
        <w:pStyle w:val="style4097"/>
        <w:jc w:val="both"/>
        <w:rPr/>
      </w:pPr>
      <w:r>
        <w:t xml:space="preserve">4. ročník 40 – 50 plnovýznamových slov </w:t>
      </w:r>
    </w:p>
    <w:p>
      <w:pPr>
        <w:pStyle w:val="style4097"/>
        <w:jc w:val="both"/>
        <w:rPr/>
      </w:pPr>
      <w:r>
        <w:t xml:space="preserve"> Navrhovaný rozsah slov platí aj pri prepise a odpise textu.</w:t>
      </w:r>
    </w:p>
    <w:p>
      <w:pPr>
        <w:pStyle w:val="style4097"/>
        <w:jc w:val="both"/>
        <w:rPr/>
      </w:pPr>
      <w:r>
        <w:t>Pri oprave diktátov budú vyučujúce používať po vzájomnej dohode korektorské značky.</w:t>
      </w:r>
    </w:p>
    <w:p>
      <w:pPr>
        <w:pStyle w:val="style157"/>
        <w:ind w:firstLine="708"/>
        <w:jc w:val="both"/>
        <w:rPr>
          <w:rFonts w:ascii="Times New Roman" w:cs="Times New Roman" w:hAnsi="Times New Roman"/>
          <w:b/>
          <w:sz w:val="24"/>
          <w:szCs w:val="24"/>
        </w:rPr>
      </w:pPr>
    </w:p>
    <w:p>
      <w:pPr>
        <w:pStyle w:val="style157"/>
        <w:ind w:firstLine="708"/>
        <w:jc w:val="both"/>
        <w:rPr>
          <w:rFonts w:ascii="Times New Roman" w:cs="Times New Roman" w:hAnsi="Times New Roman"/>
          <w:b/>
          <w:sz w:val="24"/>
          <w:szCs w:val="24"/>
        </w:rPr>
      </w:pPr>
    </w:p>
    <w:p>
      <w:pPr>
        <w:pStyle w:val="style4097"/>
        <w:jc w:val="both"/>
        <w:rPr/>
      </w:pPr>
    </w:p>
    <w:p>
      <w:pPr>
        <w:pStyle w:val="style4097"/>
        <w:jc w:val="both"/>
        <w:rPr/>
      </w:pPr>
    </w:p>
    <w:p>
      <w:pPr>
        <w:pStyle w:val="style4097"/>
        <w:jc w:val="both"/>
        <w:rPr/>
      </w:pPr>
    </w:p>
    <w:p>
      <w:pPr>
        <w:pStyle w:val="style4097"/>
        <w:jc w:val="both"/>
        <w:rPr/>
      </w:pPr>
    </w:p>
    <w:p>
      <w:pPr>
        <w:pStyle w:val="style4097"/>
        <w:jc w:val="both"/>
        <w:rPr/>
      </w:pPr>
    </w:p>
    <w:p>
      <w:pPr>
        <w:pStyle w:val="style4097"/>
        <w:jc w:val="both"/>
        <w:rPr/>
      </w:pPr>
    </w:p>
    <w:p>
      <w:pPr>
        <w:pStyle w:val="style4097"/>
        <w:jc w:val="both"/>
        <w:rPr/>
      </w:pPr>
    </w:p>
    <w:p>
      <w:pPr>
        <w:pStyle w:val="style4097"/>
        <w:jc w:val="both"/>
        <w:rPr/>
      </w:pPr>
    </w:p>
    <w:p>
      <w:pPr>
        <w:pStyle w:val="style4097"/>
        <w:jc w:val="both"/>
        <w:rPr/>
      </w:pPr>
    </w:p>
    <w:p>
      <w:pPr>
        <w:pStyle w:val="style4097"/>
        <w:jc w:val="both"/>
        <w:rPr/>
      </w:pPr>
    </w:p>
    <w:p>
      <w:pPr>
        <w:pStyle w:val="style4097"/>
        <w:jc w:val="both"/>
        <w:rPr/>
      </w:pPr>
    </w:p>
    <w:p>
      <w:pPr>
        <w:pStyle w:val="style4097"/>
        <w:jc w:val="both"/>
        <w:rPr/>
      </w:pPr>
    </w:p>
    <w:p>
      <w:pPr>
        <w:pStyle w:val="style4097"/>
        <w:jc w:val="both"/>
        <w:rPr/>
      </w:pPr>
    </w:p>
    <w:p>
      <w:pPr>
        <w:pStyle w:val="style4097"/>
        <w:jc w:val="both"/>
        <w:rPr/>
      </w:pPr>
    </w:p>
    <w:p>
      <w:pPr>
        <w:pStyle w:val="style4097"/>
        <w:jc w:val="both"/>
        <w:rPr/>
      </w:pPr>
    </w:p>
    <w:p>
      <w:pPr>
        <w:pStyle w:val="style4097"/>
        <w:jc w:val="both"/>
        <w:rPr/>
      </w:pPr>
    </w:p>
    <w:p>
      <w:pPr>
        <w:pStyle w:val="style4097"/>
        <w:jc w:val="both"/>
        <w:rPr/>
      </w:pPr>
    </w:p>
    <w:p>
      <w:pPr>
        <w:pStyle w:val="style4097"/>
        <w:jc w:val="both"/>
        <w:rPr/>
      </w:pPr>
    </w:p>
    <w:p>
      <w:pPr>
        <w:pStyle w:val="style4097"/>
        <w:jc w:val="both"/>
        <w:rPr/>
      </w:pPr>
    </w:p>
    <w:p>
      <w:pPr>
        <w:pStyle w:val="style4097"/>
        <w:jc w:val="both"/>
        <w:rPr/>
      </w:pPr>
    </w:p>
    <w:p>
      <w:pPr>
        <w:pStyle w:val="style4097"/>
        <w:jc w:val="both"/>
        <w:rPr/>
      </w:pPr>
    </w:p>
    <w:p>
      <w:pPr>
        <w:pStyle w:val="style4097"/>
        <w:jc w:val="both"/>
        <w:rPr/>
      </w:pPr>
    </w:p>
    <w:p>
      <w:pPr>
        <w:pStyle w:val="style4097"/>
        <w:jc w:val="both"/>
        <w:rPr/>
      </w:pPr>
    </w:p>
    <w:p>
      <w:pPr>
        <w:pStyle w:val="style4097"/>
        <w:jc w:val="both"/>
        <w:rPr/>
      </w:pPr>
    </w:p>
    <w:p>
      <w:pPr>
        <w:pStyle w:val="style4097"/>
        <w:jc w:val="both"/>
        <w:rPr/>
      </w:pPr>
      <w:r>
        <w:rPr>
          <w:b/>
        </w:rPr>
        <w:t>Matematika</w:t>
      </w:r>
    </w:p>
    <w:p>
      <w:pPr>
        <w:pStyle w:val="style4097"/>
        <w:jc w:val="both"/>
        <w:rPr/>
      </w:pPr>
    </w:p>
    <w:p>
      <w:pPr>
        <w:pStyle w:val="style0"/>
        <w:autoSpaceDE w:val="false"/>
        <w:autoSpaceDN w:val="false"/>
        <w:adjustRightInd w:val="false"/>
        <w:spacing w:after="0" w:lineRule="auto" w:line="240"/>
        <w:jc w:val="both"/>
        <w:rPr>
          <w:rFonts w:ascii="Times New Roman" w:cs="Times New Roman" w:hAnsi="Times New Roman"/>
          <w:color w:val="000000"/>
          <w:sz w:val="24"/>
          <w:szCs w:val="24"/>
        </w:rPr>
      </w:pPr>
      <w:r>
        <w:rPr>
          <w:rFonts w:ascii="Calibri" w:cs="Calibri" w:hAnsi="Calibri"/>
          <w:color w:val="000000"/>
          <w:sz w:val="24"/>
          <w:szCs w:val="24"/>
        </w:rPr>
        <w:t xml:space="preserve"> </w:t>
      </w:r>
      <w:r>
        <w:rPr>
          <w:rFonts w:ascii="Times New Roman" w:cs="Times New Roman" w:hAnsi="Times New Roman"/>
          <w:color w:val="000000"/>
          <w:sz w:val="24"/>
          <w:szCs w:val="24"/>
        </w:rPr>
        <w:t>Predmet matematika bude hodnotený ústnou aj písomnou formou. Bude sa zisťovať a hodnotiť najmä osvojenie základných poznatkov stanovených výkonovou časťou vzdelávacieho štandardu. Písomnou formou bude kontrolované a hodnotené osvojenie si základných</w:t>
      </w:r>
      <w:r>
        <w:rPr>
          <w:rFonts w:ascii="Times New Roman" w:cs="Times New Roman" w:hAnsi="Times New Roman"/>
          <w:color w:val="000000"/>
          <w:sz w:val="24"/>
          <w:szCs w:val="24"/>
        </w:rPr>
        <w:t xml:space="preserve"> poznatkov prostredníctvom päť</w:t>
      </w:r>
      <w:r>
        <w:rPr>
          <w:rFonts w:ascii="Times New Roman" w:cs="Times New Roman" w:hAnsi="Times New Roman"/>
          <w:color w:val="000000"/>
          <w:sz w:val="24"/>
          <w:szCs w:val="24"/>
        </w:rPr>
        <w:t>minútoviek, samostatnej písomnej práce, skupinovej písomnej práce, spracovaním pracovného listu alebo didaktickým testo</w:t>
      </w:r>
      <w:r>
        <w:rPr>
          <w:rFonts w:ascii="Times New Roman" w:cs="Times New Roman" w:hAnsi="Times New Roman"/>
          <w:color w:val="000000"/>
          <w:sz w:val="24"/>
          <w:szCs w:val="24"/>
        </w:rPr>
        <w:t xml:space="preserve">m na konci tematického celku. </w:t>
      </w:r>
    </w:p>
    <w:p>
      <w:pPr>
        <w:pStyle w:val="style0"/>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Ústnou formou minimálne 2-x za klasifikačné obdobie z preberaného učiva.</w:t>
      </w:r>
    </w:p>
    <w:p>
      <w:pPr>
        <w:pStyle w:val="style0"/>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Učiteľ bude prihliadať na ú</w:t>
      </w:r>
      <w:r>
        <w:rPr>
          <w:rFonts w:ascii="Times New Roman" w:cs="Times New Roman" w:hAnsi="Times New Roman"/>
          <w:color w:val="000000"/>
          <w:sz w:val="24"/>
          <w:szCs w:val="24"/>
        </w:rPr>
        <w:t>časť a úspešnosť v matematických súťažiach, celková úroveň verbálnej a písomnej komunikácie, estetika úpravy zošita, aktívna práca na hodinách</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w:t>
      </w:r>
      <w:r>
        <w:rPr>
          <w:rFonts w:ascii="Times New Roman" w:cs="Times New Roman" w:hAnsi="Times New Roman"/>
          <w:color w:val="000000"/>
          <w:sz w:val="24"/>
          <w:szCs w:val="24"/>
        </w:rPr>
        <w:t xml:space="preserve">vorivosť a iniciatívnosť </w:t>
      </w:r>
      <w:r>
        <w:rPr>
          <w:rFonts w:ascii="Times New Roman" w:cs="Times New Roman" w:hAnsi="Times New Roman"/>
          <w:color w:val="000000"/>
          <w:sz w:val="24"/>
          <w:szCs w:val="24"/>
        </w:rPr>
        <w:t>na hodinách, s</w:t>
      </w:r>
      <w:r>
        <w:rPr>
          <w:rFonts w:ascii="Times New Roman" w:cs="Times New Roman" w:hAnsi="Times New Roman"/>
          <w:color w:val="000000"/>
          <w:sz w:val="24"/>
          <w:szCs w:val="24"/>
        </w:rPr>
        <w:t>amostatnosť v</w:t>
      </w:r>
      <w:r>
        <w:rPr>
          <w:rFonts w:ascii="Times New Roman" w:cs="Times New Roman" w:hAnsi="Times New Roman"/>
          <w:color w:val="000000"/>
          <w:sz w:val="24"/>
          <w:szCs w:val="24"/>
        </w:rPr>
        <w:t> </w:t>
      </w:r>
      <w:r>
        <w:rPr>
          <w:rFonts w:ascii="Times New Roman" w:cs="Times New Roman" w:hAnsi="Times New Roman"/>
          <w:color w:val="000000"/>
          <w:sz w:val="24"/>
          <w:szCs w:val="24"/>
        </w:rPr>
        <w:t>práci</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s</w:t>
      </w:r>
      <w:r>
        <w:rPr>
          <w:rFonts w:ascii="Times New Roman" w:cs="Times New Roman" w:hAnsi="Times New Roman"/>
          <w:color w:val="000000"/>
          <w:sz w:val="24"/>
          <w:szCs w:val="24"/>
        </w:rPr>
        <w:t>polupráca so spolužiakmi, pomoc spolužiakom</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r</w:t>
      </w:r>
      <w:r>
        <w:rPr>
          <w:rFonts w:ascii="Times New Roman" w:cs="Times New Roman" w:hAnsi="Times New Roman"/>
          <w:color w:val="000000"/>
          <w:sz w:val="24"/>
          <w:szCs w:val="24"/>
        </w:rPr>
        <w:t>ešpektovanie pokynov na prácu</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w:t>
      </w:r>
      <w:r>
        <w:rPr>
          <w:rFonts w:ascii="Times New Roman" w:cs="Times New Roman" w:hAnsi="Times New Roman"/>
          <w:color w:val="000000"/>
          <w:sz w:val="24"/>
          <w:szCs w:val="24"/>
        </w:rPr>
        <w:t>ravidelnosť prípravy na vyučovanie</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c</w:t>
      </w:r>
      <w:r>
        <w:rPr>
          <w:rFonts w:ascii="Times New Roman" w:cs="Times New Roman" w:hAnsi="Times New Roman"/>
          <w:color w:val="000000"/>
          <w:sz w:val="24"/>
          <w:szCs w:val="24"/>
        </w:rPr>
        <w:t>el</w:t>
      </w:r>
      <w:r>
        <w:rPr>
          <w:rFonts w:ascii="Times New Roman" w:cs="Times New Roman" w:hAnsi="Times New Roman"/>
          <w:color w:val="000000"/>
          <w:sz w:val="24"/>
          <w:szCs w:val="24"/>
        </w:rPr>
        <w:t>kové správanie žiaka na hodinách,</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s</w:t>
      </w:r>
      <w:r>
        <w:rPr>
          <w:rFonts w:ascii="Times New Roman" w:cs="Times New Roman" w:hAnsi="Times New Roman"/>
          <w:color w:val="000000"/>
          <w:sz w:val="24"/>
          <w:szCs w:val="24"/>
        </w:rPr>
        <w:t>chopnosť matematického vyjadrovania</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ú</w:t>
      </w:r>
      <w:r>
        <w:rPr>
          <w:rFonts w:ascii="Times New Roman" w:cs="Times New Roman" w:hAnsi="Times New Roman"/>
          <w:color w:val="000000"/>
          <w:sz w:val="24"/>
          <w:szCs w:val="24"/>
        </w:rPr>
        <w:t>prava zošita</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w:t>
      </w:r>
      <w:r>
        <w:rPr>
          <w:rFonts w:ascii="Times New Roman" w:cs="Times New Roman" w:hAnsi="Times New Roman"/>
          <w:color w:val="000000"/>
          <w:sz w:val="24"/>
          <w:szCs w:val="24"/>
        </w:rPr>
        <w:t>ríprava pomôcok na vyučovanie</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p>
    <w:p>
      <w:pPr>
        <w:pStyle w:val="style0"/>
        <w:autoSpaceDE w:val="false"/>
        <w:autoSpaceDN w:val="false"/>
        <w:adjustRightInd w:val="false"/>
        <w:spacing w:after="0" w:lineRule="auto" w:line="240"/>
        <w:jc w:val="both"/>
        <w:rPr>
          <w:rFonts w:ascii="Times New Roman" w:cs="Times New Roman" w:hAnsi="Times New Roman"/>
          <w:color w:val="000000"/>
          <w:sz w:val="24"/>
          <w:szCs w:val="24"/>
        </w:rPr>
      </w:pPr>
    </w:p>
    <w:p>
      <w:pPr>
        <w:pStyle w:val="style4097"/>
        <w:jc w:val="both"/>
        <w:rPr>
          <w:b/>
          <w:bCs/>
        </w:rPr>
      </w:pPr>
      <w:r>
        <w:t xml:space="preserve">Pri hodnotení žiakov (jednotlivcov i skupín, formou ústneho i písomného skúšania) postupujeme podľa </w:t>
      </w:r>
      <w:r>
        <w:rPr>
          <w:b/>
          <w:bCs/>
        </w:rPr>
        <w:t>Metodického pokynu č. 22/2011-R na hodnotenie a klasifikáciu žiakov základnej školy.</w:t>
      </w:r>
    </w:p>
    <w:p>
      <w:pPr>
        <w:pStyle w:val="style4097"/>
        <w:jc w:val="both"/>
        <w:rPr>
          <w:b/>
          <w:bCs/>
        </w:rPr>
      </w:pPr>
    </w:p>
    <w:p>
      <w:pPr>
        <w:pStyle w:val="style0"/>
        <w:autoSpaceDE w:val="false"/>
        <w:autoSpaceDN w:val="false"/>
        <w:adjustRightInd w:val="false"/>
        <w:spacing w:after="0" w:lineRule="auto" w:line="240"/>
        <w:jc w:val="both"/>
        <w:rPr>
          <w:rFonts w:ascii="Times New Roman" w:cs="Times New Roman" w:hAnsi="Times New Roman"/>
          <w:color w:val="000000"/>
          <w:sz w:val="24"/>
          <w:szCs w:val="24"/>
        </w:rPr>
      </w:pPr>
      <w:r>
        <w:rPr>
          <w:rFonts w:ascii="Times New Roman" w:cs="Times New Roman" w:hAnsi="Times New Roman"/>
          <w:b/>
          <w:bCs/>
          <w:color w:val="000000"/>
          <w:sz w:val="24"/>
          <w:szCs w:val="24"/>
        </w:rPr>
        <w:t>Klasifikácia kon</w:t>
      </w:r>
      <w:r>
        <w:rPr>
          <w:rFonts w:ascii="Times New Roman" w:cs="Times New Roman" w:hAnsi="Times New Roman"/>
          <w:b/>
          <w:bCs/>
          <w:color w:val="000000"/>
          <w:sz w:val="24"/>
          <w:szCs w:val="24"/>
        </w:rPr>
        <w:t>trolných testov, písomných prác, pä</w:t>
      </w:r>
      <w:r>
        <w:rPr>
          <w:rFonts w:ascii="Times New Roman" w:cs="Times New Roman" w:hAnsi="Times New Roman"/>
          <w:b/>
          <w:bCs/>
          <w:color w:val="000000"/>
          <w:sz w:val="24"/>
          <w:szCs w:val="24"/>
        </w:rPr>
        <w:t xml:space="preserve">ťminútoviek, samostatnej práce :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Počet písomných prác v I. ročníku: 1 (výstupná)</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Počet písomných prác v II. – IV. ročníku: 3 ( vstupná, polročná a koncoročná)</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Bude klasifikovaná bodovou percentuálnou bodovou stupnicou schválenou na zasadnutí MZ.</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firstRow="0" w:lastRow="0" w:firstColumn="0" w:lastColumn="0" w:noHBand="0" w:noVBand="0"/>
      </w:tblPr>
      <w:tblGrid>
        <w:gridCol w:w="2562"/>
        <w:gridCol w:w="2769"/>
      </w:tblGrid>
      <w:tr>
        <w:trPr>
          <w:trHeight w:val="360"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Úspešnosť v %</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Známka</w:t>
            </w:r>
          </w:p>
        </w:tc>
      </w:tr>
      <w:tr>
        <w:tblPrEx/>
        <w:trPr>
          <w:trHeight w:val="484"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100 %- 91%</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1</w:t>
            </w:r>
          </w:p>
        </w:tc>
      </w:tr>
      <w:tr>
        <w:tblPrEx/>
        <w:trPr>
          <w:trHeight w:val="471"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90 % - 76%</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2</w:t>
            </w:r>
          </w:p>
        </w:tc>
      </w:tr>
      <w:tr>
        <w:tblPrEx/>
        <w:trPr>
          <w:trHeight w:val="498"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75% - 46%</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3</w:t>
            </w:r>
          </w:p>
        </w:tc>
      </w:tr>
      <w:tr>
        <w:tblPrEx/>
        <w:trPr>
          <w:trHeight w:val="485"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45% - 26%</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4</w:t>
            </w:r>
          </w:p>
        </w:tc>
      </w:tr>
      <w:tr>
        <w:tblPrEx/>
        <w:trPr>
          <w:trHeight w:val="526"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25% - 0%</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5</w:t>
            </w:r>
          </w:p>
        </w:tc>
      </w:tr>
    </w:tbl>
    <w:p>
      <w:pPr>
        <w:pStyle w:val="style0"/>
        <w:spacing w:after="0" w:lineRule="auto" w:line="240"/>
        <w:jc w:val="both"/>
        <w:rPr>
          <w:rFonts w:ascii="Times New Roman" w:cs="Times New Roman" w:hAnsi="Times New Roman"/>
          <w:sz w:val="24"/>
          <w:szCs w:val="24"/>
        </w:rPr>
      </w:pPr>
    </w:p>
    <w:p>
      <w:pPr>
        <w:pStyle w:val="style157"/>
        <w:jc w:val="both"/>
        <w:rPr>
          <w:rFonts w:ascii="Times New Roman" w:cs="Times New Roman" w:hAnsi="Times New Roman"/>
          <w:sz w:val="24"/>
          <w:szCs w:val="24"/>
        </w:rPr>
      </w:pPr>
      <w:r>
        <w:rPr>
          <w:rFonts w:ascii="Times New Roman" w:cs="Times New Roman" w:hAnsi="Times New Roman"/>
          <w:sz w:val="24"/>
          <w:szCs w:val="24"/>
        </w:rPr>
        <w:t>Výsledky výstupných previerok a písomných prác budú porovnané s obsahovými a výkonovými štandardami a ich úspešnosť, prípadne nedostatky budú prehodnotené na zasadnutiach MZ.</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Päťminútovky (10 príkladov</w:t>
      </w:r>
      <w:r>
        <w:rPr>
          <w:rFonts w:ascii="Times New Roman" w:cs="Times New Roman" w:hAnsi="Times New Roman"/>
          <w:sz w:val="24"/>
          <w:szCs w:val="24"/>
        </w:rPr>
        <w:t>)  - klasifikačná stupnica:</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firstRow="0" w:lastRow="0" w:firstColumn="0" w:lastColumn="0" w:noHBand="0" w:noVBand="0"/>
      </w:tblPr>
      <w:tblGrid>
        <w:gridCol w:w="2534"/>
        <w:gridCol w:w="2811"/>
      </w:tblGrid>
      <w:tr>
        <w:trPr>
          <w:trHeight w:val="290" w:hRule="atLeast"/>
        </w:trPr>
        <w:tc>
          <w:tcPr>
            <w:tcW w:w="2534"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Počet chýb</w:t>
            </w:r>
          </w:p>
        </w:tc>
        <w:tc>
          <w:tcPr>
            <w:tcW w:w="2811"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Známka</w:t>
            </w:r>
          </w:p>
        </w:tc>
      </w:tr>
      <w:tr>
        <w:tblPrEx/>
        <w:trPr>
          <w:trHeight w:val="333" w:hRule="atLeast"/>
        </w:trPr>
        <w:tc>
          <w:tcPr>
            <w:tcW w:w="2534"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0  - 1</w:t>
            </w:r>
          </w:p>
        </w:tc>
        <w:tc>
          <w:tcPr>
            <w:tcW w:w="2811"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1</w:t>
            </w:r>
          </w:p>
        </w:tc>
      </w:tr>
      <w:tr>
        <w:tblPrEx/>
        <w:trPr>
          <w:trHeight w:val="291" w:hRule="atLeast"/>
        </w:trPr>
        <w:tc>
          <w:tcPr>
            <w:tcW w:w="2534"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2 – 3</w:t>
            </w:r>
          </w:p>
        </w:tc>
        <w:tc>
          <w:tcPr>
            <w:tcW w:w="2811"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2</w:t>
            </w:r>
          </w:p>
        </w:tc>
      </w:tr>
      <w:tr>
        <w:tblPrEx/>
        <w:trPr>
          <w:trHeight w:val="346" w:hRule="atLeast"/>
        </w:trPr>
        <w:tc>
          <w:tcPr>
            <w:tcW w:w="2534"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4 – 5</w:t>
            </w:r>
          </w:p>
        </w:tc>
        <w:tc>
          <w:tcPr>
            <w:tcW w:w="2811"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3</w:t>
            </w:r>
          </w:p>
        </w:tc>
      </w:tr>
      <w:tr>
        <w:tblPrEx/>
        <w:trPr>
          <w:trHeight w:val="401" w:hRule="atLeast"/>
        </w:trPr>
        <w:tc>
          <w:tcPr>
            <w:tcW w:w="2534"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6 – 8</w:t>
            </w:r>
          </w:p>
        </w:tc>
        <w:tc>
          <w:tcPr>
            <w:tcW w:w="2811"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4</w:t>
            </w:r>
          </w:p>
        </w:tc>
      </w:tr>
      <w:tr>
        <w:tblPrEx/>
        <w:trPr>
          <w:trHeight w:val="416" w:hRule="atLeast"/>
        </w:trPr>
        <w:tc>
          <w:tcPr>
            <w:tcW w:w="2534"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9 - 10</w:t>
            </w:r>
          </w:p>
        </w:tc>
        <w:tc>
          <w:tcPr>
            <w:tcW w:w="2811"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5</w:t>
            </w:r>
          </w:p>
        </w:tc>
      </w:tr>
    </w:tbl>
    <w:p>
      <w:pPr>
        <w:pStyle w:val="style0"/>
        <w:spacing w:after="0" w:lineRule="auto" w:line="240"/>
        <w:jc w:val="both"/>
        <w:rPr>
          <w:rFonts w:ascii="Times New Roman" w:cs="Times New Roman" w:hAnsi="Times New Roman"/>
          <w:sz w:val="24"/>
          <w:szCs w:val="24"/>
        </w:rPr>
      </w:pPr>
    </w:p>
    <w:p>
      <w:pPr>
        <w:pStyle w:val="style0"/>
        <w:autoSpaceDE w:val="false"/>
        <w:autoSpaceDN w:val="false"/>
        <w:adjustRightInd w:val="false"/>
        <w:spacing w:after="0" w:lineRule="auto" w:line="240"/>
        <w:jc w:val="both"/>
        <w:rPr>
          <w:rFonts w:ascii="Times New Roman" w:cs="Times New Roman" w:hAnsi="Times New Roman"/>
          <w:color w:val="000000"/>
          <w:sz w:val="24"/>
          <w:szCs w:val="24"/>
        </w:rPr>
      </w:pPr>
    </w:p>
    <w:tbl>
      <w:tblPr>
        <w:tblW w:w="0" w:type="auto"/>
        <w:tblBorders>
          <w:top w:val="nil"/>
          <w:left w:val="nil"/>
          <w:bottom w:val="nil"/>
          <w:right w:val="nil"/>
        </w:tblBorders>
        <w:tblCellMar>
          <w:top w:w="0" w:type="dxa"/>
          <w:bottom w:w="0" w:type="dxa"/>
        </w:tblCellMar>
        <w:tblLook w:firstRow="0" w:lastRow="0" w:firstColumn="0" w:lastColumn="0" w:noHBand="0" w:noVBand="0"/>
      </w:tblPr>
      <w:tblGrid>
        <w:gridCol w:w="4458"/>
        <w:gridCol w:w="4459"/>
      </w:tblGrid>
      <w:tr>
        <w:trPr>
          <w:trHeight w:val="380" w:hRule="atLeast"/>
        </w:trPr>
        <w:tc>
          <w:tcPr>
            <w:tcW w:w="4458" w:type="dxa"/>
            <w:tcBorders/>
            <w:tcFitText w:val="false"/>
          </w:tcPr>
          <w:p>
            <w:pPr>
              <w:pStyle w:val="style0"/>
              <w:autoSpaceDE w:val="false"/>
              <w:autoSpaceDN w:val="false"/>
              <w:adjustRightInd w:val="false"/>
              <w:spacing w:after="0" w:lineRule="auto" w:line="240"/>
              <w:jc w:val="both"/>
              <w:rPr>
                <w:rFonts w:ascii="Calibri" w:cs="Calibri" w:hAnsi="Calibri"/>
                <w:color w:val="000000"/>
              </w:rPr>
            </w:pPr>
          </w:p>
        </w:tc>
        <w:tc>
          <w:tcPr>
            <w:tcW w:w="4459" w:type="dxa"/>
            <w:tcBorders/>
            <w:tcFitText w:val="false"/>
          </w:tcPr>
          <w:p>
            <w:pPr>
              <w:pStyle w:val="style0"/>
              <w:autoSpaceDE w:val="false"/>
              <w:autoSpaceDN w:val="false"/>
              <w:adjustRightInd w:val="false"/>
              <w:spacing w:after="0" w:lineRule="auto" w:line="240"/>
              <w:jc w:val="both"/>
              <w:rPr>
                <w:rFonts w:ascii="Calibri" w:cs="Calibri" w:hAnsi="Calibri"/>
                <w:color w:val="000000"/>
              </w:rPr>
            </w:pPr>
          </w:p>
        </w:tc>
      </w:tr>
    </w:tbl>
    <w:p>
      <w:pPr>
        <w:pStyle w:val="style4097"/>
        <w:jc w:val="both"/>
        <w:rPr/>
      </w:pPr>
      <w:r>
        <w:rPr>
          <w:b/>
          <w:bCs/>
        </w:rPr>
        <w:t xml:space="preserve">Prírodoveda </w:t>
      </w:r>
    </w:p>
    <w:p>
      <w:pPr>
        <w:pStyle w:val="style4097"/>
        <w:jc w:val="both"/>
        <w:rPr/>
      </w:pPr>
    </w:p>
    <w:p>
      <w:pPr>
        <w:pStyle w:val="style4097"/>
        <w:jc w:val="both"/>
        <w:rPr/>
      </w:pPr>
      <w:r>
        <w:t xml:space="preserve">Celkové hodnotenie žiaka v predmete sa </w:t>
      </w:r>
      <w:r>
        <w:t xml:space="preserve">bude </w:t>
      </w:r>
      <w:r>
        <w:t>vykonáva</w:t>
      </w:r>
      <w:r>
        <w:t>ť</w:t>
      </w:r>
      <w:r>
        <w:t xml:space="preserve"> klasifikáciou. Žiaci sú s hodnotením predmetu oboznámení na 1. vyučovacej hodine. </w:t>
      </w:r>
    </w:p>
    <w:p>
      <w:pPr>
        <w:pStyle w:val="style0"/>
        <w:spacing w:after="0" w:lineRule="auto" w:line="240"/>
        <w:jc w:val="both"/>
        <w:rPr>
          <w:rFonts w:ascii="Times New Roman" w:cs="Times New Roman" w:hAnsi="Times New Roman"/>
          <w:sz w:val="24"/>
          <w:szCs w:val="24"/>
        </w:rPr>
      </w:pPr>
      <w:r>
        <w:rPr>
          <w:rFonts w:ascii="Times New Roman" w:cs="Times New Roman" w:eastAsia="Times New Roman" w:hAnsi="Times New Roman"/>
          <w:sz w:val="24"/>
          <w:szCs w:val="24"/>
          <w:lang w:eastAsia="sk-SK"/>
        </w:rPr>
        <w:t>Pri hodnotení vychádzame z Metodického pokynu č. 22/2011 z 1.mája 2011 na hodnotenie žiakov základnej školy</w:t>
      </w:r>
      <w:r>
        <w:rPr>
          <w:rFonts w:ascii="Times New Roman" w:cs="Times New Roman" w:eastAsia="Times New Roman" w:hAnsi="Times New Roman"/>
          <w:sz w:val="24"/>
          <w:szCs w:val="24"/>
          <w:lang w:eastAsia="sk-SK"/>
        </w:rPr>
        <w:t>.</w:t>
      </w:r>
    </w:p>
    <w:p>
      <w:pPr>
        <w:pStyle w:val="style0"/>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 xml:space="preserve">Podklady na hodnotenie a klasifikáciu si učiteľ získa: </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sústavným diagnostickým pozorovaním žiaka</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sústavným sledovaním výkonu žiaka a jeho prípravu na vyučovanie</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rôznymi druhmi skúšok – ústne, písomné, grafické, praktické</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analýzou výsledkov rôznych činností žiaka</w:t>
      </w:r>
    </w:p>
    <w:p>
      <w:pPr>
        <w:pStyle w:val="style4097"/>
        <w:jc w:val="both"/>
        <w:rPr/>
      </w:pPr>
    </w:p>
    <w:p>
      <w:pPr>
        <w:pStyle w:val="style4097"/>
        <w:jc w:val="both"/>
        <w:rPr/>
      </w:pPr>
      <w:r>
        <w:t>Priebežné</w:t>
      </w:r>
      <w:r>
        <w:t xml:space="preserve"> hodnotenie žiaka sa uskutoční</w:t>
      </w:r>
      <w:r>
        <w:t xml:space="preserve"> pri hodnotení čiastkových výsledkov a prejavov žiaka na vyučovacích hodinách a má hlavne motivačný charakter. Učiteľ pri ňom </w:t>
      </w:r>
      <w:r>
        <w:t>bude zohľadňovať</w:t>
      </w:r>
      <w:r>
        <w:t xml:space="preserve"> vekové a individuálne osobitosti žiaka a prihliada</w:t>
      </w:r>
      <w:r>
        <w:t>ť</w:t>
      </w:r>
      <w:r>
        <w:t xml:space="preserve"> na jeho momentálnu psychickú i fyzickú disponovano</w:t>
      </w:r>
      <w:r>
        <w:t xml:space="preserve">sť. </w:t>
      </w:r>
      <w:r>
        <w:t>Predmetom hodnotenia vo</w:t>
      </w:r>
      <w:r>
        <w:t xml:space="preserve"> výchovno-vzdelávacom procese budú</w:t>
      </w:r>
      <w:r>
        <w:t xml:space="preserve"> najmä učebné výsledky žiaka, ktoré dosiahol vo vyučovacom predmete v súlade s požiadavkami vymedzenými v učebných osnovách, osvojené kľúčové kompetencie, ako aj usilovnosť, osobnostný rast, ochota spolupracovať. Hodnotenie slúži ako prostriedok pozitívnej podpory zdravého rozvoja osobnosti žiaka. </w:t>
      </w:r>
    </w:p>
    <w:p>
      <w:pPr>
        <w:pStyle w:val="style4097"/>
        <w:jc w:val="both"/>
        <w:rPr/>
      </w:pPr>
      <w:r>
        <w:t xml:space="preserve">Predmetom priebežného hodnotenia žiaka v prírodovede budú: ústne odpovede, písomné práce a tvorba projektov. </w:t>
      </w:r>
    </w:p>
    <w:p>
      <w:pPr>
        <w:pStyle w:val="style4097"/>
        <w:jc w:val="both"/>
        <w:rPr/>
      </w:pPr>
      <w:r>
        <w:t>Pri ústnej odpovedi hodnotí učiteľ</w:t>
      </w:r>
      <w:r>
        <w:t>:</w:t>
      </w:r>
    </w:p>
    <w:p>
      <w:pPr>
        <w:pStyle w:val="style4097"/>
        <w:numPr>
          <w:ilvl w:val="0"/>
          <w:numId w:val="2"/>
        </w:numPr>
        <w:jc w:val="both"/>
        <w:rPr/>
      </w:pPr>
      <w:r>
        <w:t>Úroveň získaných  poznatkov, pojmov</w:t>
      </w:r>
      <w:r>
        <w:t xml:space="preserve"> a zákonitosti da</w:t>
      </w:r>
      <w:r>
        <w:t>ného učiva podľa učebných osnov</w:t>
      </w:r>
      <w:r>
        <w:t xml:space="preserve"> </w:t>
      </w:r>
    </w:p>
    <w:p>
      <w:pPr>
        <w:pStyle w:val="style4097"/>
        <w:numPr>
          <w:ilvl w:val="0"/>
          <w:numId w:val="2"/>
        </w:numPr>
        <w:jc w:val="both"/>
        <w:rPr/>
      </w:pPr>
      <w:r>
        <w:t xml:space="preserve"> Uplatnenie osvojených</w:t>
      </w:r>
      <w:r>
        <w:t xml:space="preserve"> vedomosti pri riešení úloh,</w:t>
      </w:r>
      <w:r>
        <w:t xml:space="preserve"> hodnotení javov a zákonitostí</w:t>
      </w:r>
    </w:p>
    <w:p>
      <w:pPr>
        <w:pStyle w:val="style4097"/>
        <w:numPr>
          <w:ilvl w:val="0"/>
          <w:numId w:val="2"/>
        </w:numPr>
        <w:jc w:val="both"/>
        <w:rPr/>
      </w:pPr>
      <w:r>
        <w:t xml:space="preserve"> A</w:t>
      </w:r>
      <w:r>
        <w:t>plikovanie osvojených poznatkov a zručnost</w:t>
      </w:r>
      <w:r>
        <w:t>í pri samostatnom riešení úloh</w:t>
      </w:r>
    </w:p>
    <w:p>
      <w:pPr>
        <w:pStyle w:val="style4097"/>
        <w:numPr>
          <w:ilvl w:val="0"/>
          <w:numId w:val="2"/>
        </w:numPr>
        <w:jc w:val="both"/>
        <w:rPr/>
      </w:pPr>
      <w:r>
        <w:t xml:space="preserve"> </w:t>
      </w:r>
      <w:r>
        <w:t>Správ</w:t>
      </w:r>
      <w:r>
        <w:t>nosť a výstižnosť jeho prejavu</w:t>
      </w:r>
    </w:p>
    <w:p>
      <w:pPr>
        <w:pStyle w:val="style4097"/>
        <w:jc w:val="both"/>
        <w:rPr/>
      </w:pPr>
      <w:r>
        <w:t xml:space="preserve">Ústna odpoveď žiaka sa uskutoční minimálne 2- krát za klasifikačné obdobie. </w:t>
      </w:r>
    </w:p>
    <w:p>
      <w:pPr>
        <w:pStyle w:val="style4097"/>
        <w:jc w:val="both"/>
        <w:rPr/>
      </w:pPr>
      <w:r>
        <w:t>Písomná práca sa uskutoční po ukončení každého tematického celku.</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Bude klasifikovaná bodovou percentuálnou bodovou stupnicou schválenou na zasadnutí MZ.</w:t>
      </w:r>
    </w:p>
    <w:p>
      <w:pPr>
        <w:pStyle w:val="style0"/>
        <w:spacing w:after="0" w:lineRule="auto" w:line="240"/>
        <w:jc w:val="both"/>
        <w:rPr>
          <w:rFonts w:ascii="Times New Roman" w:cs="Times New Roman" w:hAnsi="Times New Roman"/>
          <w:sz w:val="24"/>
          <w:szCs w:val="24"/>
        </w:rPr>
      </w:pPr>
    </w:p>
    <w:p>
      <w:pPr>
        <w:pStyle w:val="style4097"/>
        <w:jc w:val="bo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firstRow="0" w:lastRow="0" w:firstColumn="0" w:lastColumn="0" w:noHBand="0" w:noVBand="0"/>
      </w:tblPr>
      <w:tblGrid>
        <w:gridCol w:w="2562"/>
        <w:gridCol w:w="2769"/>
      </w:tblGrid>
      <w:tr>
        <w:trPr>
          <w:trHeight w:val="360"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Úspešnosť v %</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Známka</w:t>
            </w:r>
          </w:p>
        </w:tc>
      </w:tr>
      <w:tr>
        <w:tblPrEx/>
        <w:trPr>
          <w:trHeight w:val="484"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100 %- 91%</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1</w:t>
            </w:r>
          </w:p>
        </w:tc>
      </w:tr>
      <w:tr>
        <w:tblPrEx/>
        <w:trPr>
          <w:trHeight w:val="471"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90 % - 76%</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2</w:t>
            </w:r>
          </w:p>
        </w:tc>
      </w:tr>
      <w:tr>
        <w:tblPrEx/>
        <w:trPr>
          <w:trHeight w:val="498"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75% - 46%</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3</w:t>
            </w:r>
          </w:p>
        </w:tc>
      </w:tr>
      <w:tr>
        <w:tblPrEx/>
        <w:trPr>
          <w:trHeight w:val="485"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45% - 26%</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4</w:t>
            </w:r>
          </w:p>
        </w:tc>
      </w:tr>
      <w:tr>
        <w:tblPrEx/>
        <w:trPr>
          <w:trHeight w:val="526"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25% - 0%</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5</w:t>
            </w:r>
          </w:p>
        </w:tc>
      </w:tr>
    </w:tbl>
    <w:p>
      <w:pPr>
        <w:pStyle w:val="style0"/>
        <w:spacing w:after="0" w:lineRule="auto" w:line="240"/>
        <w:jc w:val="both"/>
        <w:rPr>
          <w:rFonts w:ascii="Times New Roman" w:cs="Times New Roman" w:hAnsi="Times New Roman"/>
          <w:sz w:val="24"/>
          <w:szCs w:val="24"/>
        </w:rPr>
      </w:pPr>
    </w:p>
    <w:p>
      <w:pPr>
        <w:pStyle w:val="style4097"/>
        <w:jc w:val="both"/>
        <w:rPr/>
      </w:pPr>
    </w:p>
    <w:tbl>
      <w:tblPr>
        <w:tblW w:w="0" w:type="auto"/>
        <w:tblBorders>
          <w:top w:val="nil"/>
          <w:left w:val="nil"/>
          <w:bottom w:val="nil"/>
          <w:right w:val="nil"/>
        </w:tblBorders>
        <w:tblLook w:firstRow="0" w:lastRow="0" w:firstColumn="0" w:lastColumn="0" w:noHBand="0" w:noVBand="0"/>
      </w:tblPr>
      <w:tblGrid>
        <w:gridCol w:w="1894"/>
        <w:gridCol w:w="1894"/>
      </w:tblGrid>
      <w:tr>
        <w:trPr>
          <w:trHeight w:val="109" w:hRule="atLeast"/>
        </w:trPr>
        <w:tc>
          <w:tcPr>
            <w:tcW w:w="1894" w:type="dxa"/>
            <w:tcBorders/>
            <w:tcFitText w:val="false"/>
          </w:tcPr>
          <w:p>
            <w:pPr>
              <w:pStyle w:val="style4097"/>
              <w:rPr/>
            </w:pPr>
          </w:p>
        </w:tc>
        <w:tc>
          <w:tcPr>
            <w:tcW w:w="1894" w:type="dxa"/>
            <w:tcBorders/>
            <w:tcFitText w:val="false"/>
          </w:tcPr>
          <w:p>
            <w:pPr>
              <w:pStyle w:val="style4097"/>
              <w:rPr/>
            </w:pPr>
          </w:p>
        </w:tc>
      </w:tr>
      <w:tr>
        <w:tblPrEx/>
        <w:trPr>
          <w:trHeight w:val="109" w:hRule="atLeast"/>
        </w:trPr>
        <w:tc>
          <w:tcPr>
            <w:tcW w:w="1894" w:type="dxa"/>
            <w:tcBorders/>
            <w:tcFitText w:val="false"/>
          </w:tcPr>
          <w:p>
            <w:pPr>
              <w:pStyle w:val="style4097"/>
              <w:rPr/>
            </w:pPr>
          </w:p>
        </w:tc>
        <w:tc>
          <w:tcPr>
            <w:tcW w:w="1894" w:type="dxa"/>
            <w:tcBorders/>
            <w:tcFitText w:val="false"/>
          </w:tcPr>
          <w:p>
            <w:pPr>
              <w:pStyle w:val="style4097"/>
              <w:rPr/>
            </w:pPr>
          </w:p>
        </w:tc>
      </w:tr>
      <w:tr>
        <w:tblPrEx/>
        <w:trPr>
          <w:trHeight w:val="109" w:hRule="atLeast"/>
        </w:trPr>
        <w:tc>
          <w:tcPr>
            <w:tcW w:w="1894" w:type="dxa"/>
            <w:tcBorders/>
            <w:tcFitText w:val="false"/>
          </w:tcPr>
          <w:p>
            <w:pPr>
              <w:pStyle w:val="style4097"/>
              <w:rPr/>
            </w:pPr>
          </w:p>
        </w:tc>
        <w:tc>
          <w:tcPr>
            <w:tcW w:w="1894" w:type="dxa"/>
            <w:tcBorders/>
            <w:tcFitText w:val="false"/>
          </w:tcPr>
          <w:p>
            <w:pPr>
              <w:pStyle w:val="style4097"/>
              <w:rPr/>
            </w:pPr>
          </w:p>
        </w:tc>
      </w:tr>
      <w:tr>
        <w:tblPrEx/>
        <w:trPr>
          <w:trHeight w:val="109" w:hRule="atLeast"/>
        </w:trPr>
        <w:tc>
          <w:tcPr>
            <w:tcW w:w="1894" w:type="dxa"/>
            <w:tcBorders/>
            <w:tcFitText w:val="false"/>
          </w:tcPr>
          <w:p>
            <w:pPr>
              <w:pStyle w:val="style4097"/>
              <w:rPr/>
            </w:pPr>
          </w:p>
        </w:tc>
        <w:tc>
          <w:tcPr>
            <w:tcW w:w="1894" w:type="dxa"/>
            <w:tcBorders/>
            <w:tcFitText w:val="false"/>
          </w:tcPr>
          <w:p>
            <w:pPr>
              <w:pStyle w:val="style4097"/>
              <w:rPr/>
            </w:pPr>
          </w:p>
        </w:tc>
      </w:tr>
      <w:tr>
        <w:tblPrEx/>
        <w:trPr>
          <w:trHeight w:val="109" w:hRule="atLeast"/>
        </w:trPr>
        <w:tc>
          <w:tcPr>
            <w:tcW w:w="1894" w:type="dxa"/>
            <w:tcBorders/>
            <w:tcFitText w:val="false"/>
          </w:tcPr>
          <w:p>
            <w:pPr>
              <w:pStyle w:val="style4097"/>
              <w:rPr/>
            </w:pPr>
          </w:p>
        </w:tc>
        <w:tc>
          <w:tcPr>
            <w:tcW w:w="1894" w:type="dxa"/>
            <w:tcBorders/>
            <w:tcFitText w:val="false"/>
          </w:tcPr>
          <w:p>
            <w:pPr>
              <w:pStyle w:val="style4097"/>
              <w:rPr/>
            </w:pPr>
          </w:p>
        </w:tc>
      </w:tr>
      <w:tr>
        <w:tblPrEx/>
        <w:trPr>
          <w:trHeight w:val="109" w:hRule="atLeast"/>
        </w:trPr>
        <w:tc>
          <w:tcPr>
            <w:tcW w:w="1894" w:type="dxa"/>
            <w:tcBorders/>
            <w:tcFitText w:val="false"/>
          </w:tcPr>
          <w:p>
            <w:pPr>
              <w:pStyle w:val="style4097"/>
              <w:rPr/>
            </w:pPr>
          </w:p>
        </w:tc>
        <w:tc>
          <w:tcPr>
            <w:tcW w:w="1894" w:type="dxa"/>
            <w:tcBorders/>
            <w:tcFitText w:val="false"/>
          </w:tcPr>
          <w:p>
            <w:pPr>
              <w:pStyle w:val="style4097"/>
              <w:rPr/>
            </w:pPr>
          </w:p>
        </w:tc>
      </w:tr>
    </w:tbl>
    <w:p>
      <w:pPr>
        <w:pStyle w:val="style4097"/>
        <w:jc w:val="both"/>
        <w:rPr/>
      </w:pPr>
      <w:r>
        <w:t xml:space="preserve">Tvorba projektov sa bude realizovať podľa tematického výchovno-vzdelávacieho plánu. Pri hodnotení projektov žiakov bude učiteľ prihliadať na kvalitu projektu, originalitu, kreativitu pri tvorbe, úroveň prezentácie projektu. </w:t>
      </w:r>
    </w:p>
    <w:p>
      <w:pPr>
        <w:pStyle w:val="style4097"/>
        <w:jc w:val="both"/>
        <w:rPr>
          <w:b/>
          <w:bCs/>
        </w:rPr>
      </w:pPr>
      <w:r>
        <w:t>Celkové hodnotenie žiaka v predmete prírodoveda sa uskutočňuje na konci p</w:t>
      </w:r>
      <w:r>
        <w:t>rvého polroka a druhého polroka.</w:t>
      </w: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pPr>
      <w:r>
        <w:rPr>
          <w:b/>
          <w:bCs/>
        </w:rPr>
        <w:t xml:space="preserve">Vlastiveda </w:t>
      </w:r>
    </w:p>
    <w:p>
      <w:pPr>
        <w:pStyle w:val="style4097"/>
        <w:rPr/>
      </w:pPr>
    </w:p>
    <w:p>
      <w:pPr>
        <w:pStyle w:val="style4097"/>
        <w:jc w:val="both"/>
        <w:rPr/>
      </w:pPr>
      <w:r>
        <w:t xml:space="preserve">Celkové hodnotenie žiaka v predmete sa vykonáva klasifikáciou. Žiaci sú s hodnotením predmetu oboznámení na 1. vyučovacej hodine. </w:t>
      </w:r>
    </w:p>
    <w:p>
      <w:pPr>
        <w:pStyle w:val="style0"/>
        <w:spacing w:after="0" w:lineRule="auto" w:line="240"/>
        <w:jc w:val="both"/>
        <w:rPr>
          <w:rFonts w:ascii="Times New Roman" w:cs="Times New Roman" w:hAnsi="Times New Roman"/>
          <w:sz w:val="24"/>
          <w:szCs w:val="24"/>
        </w:rPr>
      </w:pPr>
      <w:r>
        <w:rPr>
          <w:rFonts w:ascii="Times New Roman" w:cs="Times New Roman" w:eastAsia="Times New Roman" w:hAnsi="Times New Roman"/>
          <w:sz w:val="24"/>
          <w:szCs w:val="24"/>
          <w:lang w:eastAsia="sk-SK"/>
        </w:rPr>
        <w:t>Pri hodnotení vychádzame z Metodického pokynu č. 22/2011 z 1.mája 2011 na hodnotenie žiakov základnej školy</w:t>
      </w:r>
      <w:r>
        <w:rPr>
          <w:rFonts w:ascii="Times New Roman" w:cs="Times New Roman" w:eastAsia="Times New Roman" w:hAnsi="Times New Roman"/>
          <w:sz w:val="24"/>
          <w:szCs w:val="24"/>
          <w:lang w:eastAsia="sk-SK"/>
        </w:rPr>
        <w:t>.</w:t>
      </w:r>
    </w:p>
    <w:p>
      <w:pPr>
        <w:pStyle w:val="style0"/>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 xml:space="preserve">Podklady na hodnotenie a klasifikáciu si učiteľ získa: </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sústavným diagnostickým pozorovaním žiaka</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sústavným sledovaním výkonu žiaka a jeho prípravu na vyučovanie</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rôznymi druhmi skúšok – ústne, písomné, grafické, praktické</w:t>
      </w:r>
    </w:p>
    <w:p>
      <w:pPr>
        <w:pStyle w:val="style0"/>
        <w:numPr>
          <w:ilvl w:val="0"/>
          <w:numId w:val="2"/>
        </w:numPr>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analýzou výsledkov rôznych činností žiaka</w:t>
      </w:r>
    </w:p>
    <w:p>
      <w:pPr>
        <w:pStyle w:val="style4097"/>
        <w:jc w:val="both"/>
        <w:rPr/>
      </w:pPr>
    </w:p>
    <w:p>
      <w:pPr>
        <w:pStyle w:val="style4097"/>
        <w:jc w:val="both"/>
        <w:rPr/>
      </w:pPr>
    </w:p>
    <w:p>
      <w:pPr>
        <w:pStyle w:val="style4097"/>
        <w:jc w:val="both"/>
        <w:rPr/>
      </w:pPr>
      <w:r>
        <w:t xml:space="preserve">Učiteľ hodnotí žiaka priebežne klasifikáciou, ale bude využívať aj iné možnosti hodnotenia - pochvala, povzbudenie, ocenenie pozitívneho prístupu k práci. </w:t>
      </w:r>
    </w:p>
    <w:p>
      <w:pPr>
        <w:pStyle w:val="style4097"/>
        <w:jc w:val="both"/>
        <w:rPr/>
      </w:pPr>
      <w:r>
        <w:t xml:space="preserve">Hodnotí sa ústny prejav počas hodiny, skúša a klasifikuje sa iba základné učivo. Hodnotia sa krátke písomné práce na upevnenie učiva jednotlivých tematických celkov a projekty (prezentácie) na podporenie žiackej iniciatívy a tvorivosti. Na záver rozsiahlejších tém sa zaraďuje písomné preverovanie vedomostí.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Písomná práca b</w:t>
      </w:r>
      <w:r>
        <w:rPr>
          <w:rFonts w:ascii="Times New Roman" w:cs="Times New Roman" w:hAnsi="Times New Roman"/>
          <w:sz w:val="24"/>
          <w:szCs w:val="24"/>
        </w:rPr>
        <w:t>ude klasifikovaná bodovou percentuálnou bodovou stupnicou schválenou na zasadnutí MZ.</w:t>
      </w:r>
    </w:p>
    <w:p>
      <w:pPr>
        <w:pStyle w:val="style0"/>
        <w:spacing w:after="0" w:lineRule="auto" w:line="240"/>
        <w:jc w:val="both"/>
        <w:rPr>
          <w:rFonts w:ascii="Times New Roman" w:cs="Times New Roman" w:hAnsi="Times New Roman"/>
          <w:sz w:val="24"/>
          <w:szCs w:val="24"/>
        </w:rPr>
      </w:pPr>
    </w:p>
    <w:p>
      <w:pPr>
        <w:pStyle w:val="style4097"/>
        <w:jc w:val="bo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firstRow="0" w:lastRow="0" w:firstColumn="0" w:lastColumn="0" w:noHBand="0" w:noVBand="0"/>
      </w:tblPr>
      <w:tblGrid>
        <w:gridCol w:w="2562"/>
        <w:gridCol w:w="2769"/>
      </w:tblGrid>
      <w:tr>
        <w:trPr>
          <w:trHeight w:val="360"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Úspešnosť v %</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Známka</w:t>
            </w:r>
          </w:p>
        </w:tc>
      </w:tr>
      <w:tr>
        <w:tblPrEx/>
        <w:trPr>
          <w:trHeight w:val="484"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100 %- 91%</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1</w:t>
            </w:r>
          </w:p>
        </w:tc>
      </w:tr>
      <w:tr>
        <w:tblPrEx/>
        <w:trPr>
          <w:trHeight w:val="471"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90 % - 76%</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2</w:t>
            </w:r>
          </w:p>
        </w:tc>
      </w:tr>
      <w:tr>
        <w:tblPrEx/>
        <w:trPr>
          <w:trHeight w:val="498"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75% - 46%</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3</w:t>
            </w:r>
          </w:p>
        </w:tc>
      </w:tr>
      <w:tr>
        <w:tblPrEx/>
        <w:trPr>
          <w:trHeight w:val="485"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45% - 26%</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4</w:t>
            </w:r>
          </w:p>
        </w:tc>
      </w:tr>
      <w:tr>
        <w:tblPrEx/>
        <w:trPr>
          <w:trHeight w:val="526" w:hRule="atLeast"/>
        </w:trPr>
        <w:tc>
          <w:tcPr>
            <w:tcW w:w="2562"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25% - 0%</w:t>
            </w:r>
          </w:p>
        </w:tc>
        <w:tc>
          <w:tcPr>
            <w:tcW w:w="2769" w:type="dxa"/>
            <w:tcBorders/>
            <w:tcFitText w:val="false"/>
          </w:tcPr>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5</w:t>
            </w:r>
          </w:p>
        </w:tc>
      </w:tr>
    </w:tbl>
    <w:p>
      <w:pPr>
        <w:pStyle w:val="style0"/>
        <w:spacing w:after="0" w:lineRule="auto" w:line="240"/>
        <w:jc w:val="both"/>
        <w:rPr>
          <w:rFonts w:ascii="Times New Roman" w:cs="Times New Roman" w:hAnsi="Times New Roman"/>
          <w:sz w:val="24"/>
          <w:szCs w:val="24"/>
        </w:rPr>
      </w:pPr>
    </w:p>
    <w:p>
      <w:pPr>
        <w:pStyle w:val="style4097"/>
        <w:jc w:val="both"/>
        <w:rPr/>
      </w:pPr>
      <w:r>
        <w:t>Formatívne</w:t>
      </w:r>
      <w:r>
        <w:t xml:space="preserve"> hodnotenie má zabezpečiť spätnú väzbu. Bude priebežné. Učiteľ využije motivačné hodnotenie učiteľom, spätnú väzbu od spolužiakov v rámci skupinovej práce, spätnú väzbu spolužiakov po prezentácii výstupu. </w:t>
      </w:r>
    </w:p>
    <w:p>
      <w:pPr>
        <w:pStyle w:val="style4097"/>
        <w:jc w:val="both"/>
        <w:rPr/>
      </w:pPr>
      <w:r>
        <w:t xml:space="preserve">Kritériá hodnotenia- klasifikácie: zapamätanie si informácií, pojmov, faktov, ovládanie pojmov, faktov, súvislosti medzi nimi, slovná zásoba počas prezentácie, odpovede, úroveň spolupráce v rámci kooperatívnej práce, splnenie úloh, samostatnosť pri riešení úloh, analýza textu, historického obrazového a hmotného materiálu, aplikácia získaných poznatkov, práca na projekte – usilovnosť, pravidelnosť, zodpovednosť, kvalita projektu, úroveň prezentácie. </w:t>
      </w:r>
    </w:p>
    <w:p>
      <w:pPr>
        <w:pStyle w:val="style4097"/>
        <w:jc w:val="both"/>
        <w:rPr/>
      </w:pPr>
      <w:r>
        <w:t>Klasifikácia:</w:t>
      </w:r>
    </w:p>
    <w:p>
      <w:pPr>
        <w:pStyle w:val="style4097"/>
        <w:rPr/>
      </w:pPr>
      <w:r>
        <w:t xml:space="preserve">Stupeň </w:t>
      </w:r>
      <w:r>
        <w:t>1 (</w:t>
      </w:r>
      <w:r>
        <w:t>výborný</w:t>
      </w:r>
      <w:r>
        <w:t>)</w:t>
      </w:r>
    </w:p>
    <w:p>
      <w:pPr>
        <w:pStyle w:val="style4097"/>
        <w:jc w:val="both"/>
        <w:rPr/>
      </w:pPr>
      <w:r>
        <w:t xml:space="preserve">Žiak ovláda pojmy a fakty 100-91%, vie samostatne vysvetliť vzťahy, opísať procesy, analyzovať historický materiál. Vie samostatne pracovať na projekte a riešiť úlohy. Grafický a jazykový prejav na vysokej úrovni. Vie projekt plynule prezentovať a obhájiť. Získané zručnosti vie aplikovať a aktívne využiť. </w:t>
      </w:r>
    </w:p>
    <w:p>
      <w:pPr>
        <w:pStyle w:val="style4097"/>
        <w:rPr/>
      </w:pPr>
      <w:r>
        <w:t>Stupeň 2 (chválitebný)</w:t>
      </w:r>
    </w:p>
    <w:p>
      <w:pPr>
        <w:pStyle w:val="style4097"/>
        <w:jc w:val="both"/>
        <w:rPr/>
      </w:pPr>
      <w:r>
        <w:t xml:space="preserve">Žiak ovláda pojmy a fakty na 80%, vie vysvetliť vzťahy s menšími nedostatkami. Vie samostatne pracovať na projekte a riešiť úloha s obmedzenou pomocou učiteľa. Grafická úprava prác je na požadovanej úrovni. Pri prezentácii projektu, práce prejavuje menšiu neistotu. Má medzery vo vedomostiach, zručnosti vie aplikovať po povzbudení učiteľom. </w:t>
      </w:r>
    </w:p>
    <w:p>
      <w:pPr>
        <w:pStyle w:val="style4097"/>
        <w:jc w:val="both"/>
        <w:rPr/>
      </w:pPr>
    </w:p>
    <w:p>
      <w:pPr>
        <w:pStyle w:val="style4097"/>
        <w:jc w:val="both"/>
        <w:rPr/>
      </w:pPr>
      <w:r>
        <w:t>Stupeň 3 (dobrý)</w:t>
      </w:r>
    </w:p>
    <w:p>
      <w:pPr>
        <w:pStyle w:val="style4097"/>
        <w:jc w:val="both"/>
        <w:rPr/>
      </w:pPr>
      <w:r>
        <w:t xml:space="preserve">Žiak ovláda aspoň 60-55% pojmov, vzťahy vie vysvetliť za pomoci učiteľa. Na projekte a pri riešení úloh pracuje za pomoci učiteľa. Úroveň grafického prejavu je slabšia, nedokáže vyriešiť všetky úlohy. Pri prezentácii projektu, úlohy prejavuje neistotu, nedostatky, medzery. Získané zručnosti aplikuje iba za pomoci učiteľa, robí chyby, vie sa opraviť. </w:t>
      </w:r>
    </w:p>
    <w:p>
      <w:pPr>
        <w:pStyle w:val="style4097"/>
        <w:rPr/>
      </w:pPr>
    </w:p>
    <w:p>
      <w:pPr>
        <w:pStyle w:val="style4097"/>
        <w:rPr/>
      </w:pPr>
      <w:r>
        <w:t>Stupeň 4 (dostatočný)</w:t>
      </w:r>
    </w:p>
    <w:p>
      <w:pPr>
        <w:pStyle w:val="style4097"/>
        <w:jc w:val="both"/>
        <w:rPr>
          <w:b/>
        </w:rPr>
      </w:pPr>
      <w:r>
        <w:t xml:space="preserve">Žiak ovláda 40-35% pojmov a faktov. Na riešení úloh pracuje nesystematicky, nepravidelne a povrchne. Aby získal kognitívne zručnosti, je potrebná pravidelná kontrola a podpora zo strany učiteľa. Riešenie úloh, prácu na projekte zvláda na nízkej úrovni. Pri prezentácii prejavuje veľkú neistotu a značné nedostatky. Jazykový prejav je nesúrodý, nesúvislý. Získané zručnosti nevie analyzovať a aplikovať. </w:t>
      </w:r>
    </w:p>
    <w:p>
      <w:pPr>
        <w:pStyle w:val="style4097"/>
        <w:jc w:val="both"/>
        <w:rPr>
          <w:b/>
        </w:rPr>
      </w:pPr>
    </w:p>
    <w:p>
      <w:pPr>
        <w:pStyle w:val="style4097"/>
        <w:jc w:val="both"/>
        <w:rPr/>
      </w:pPr>
      <w:r>
        <w:t>Stupeň 5 (nedostatočný)</w:t>
      </w:r>
    </w:p>
    <w:p>
      <w:pPr>
        <w:pStyle w:val="style4097"/>
        <w:jc w:val="both"/>
        <w:rPr/>
      </w:pPr>
      <w:r>
        <w:t xml:space="preserve">Žiak neovláda ani 30% pojmov a faktov. Prístup k riešeniu úloh je veľmi povrchný a nesystematicky. Nemá záujem riešiť úlohy a pracovať na projekte, nedokáže prezentovať aj tak nízku úroveň kognitívnych zručnosti. </w:t>
      </w: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b/>
          <w:bCs/>
        </w:rPr>
      </w:pPr>
    </w:p>
    <w:p>
      <w:pPr>
        <w:pStyle w:val="style4097"/>
        <w:jc w:val="both"/>
        <w:rPr/>
      </w:pPr>
      <w:r>
        <w:rPr>
          <w:b/>
          <w:bCs/>
        </w:rPr>
        <w:t xml:space="preserve">Výtvarná výchova </w:t>
      </w:r>
    </w:p>
    <w:p>
      <w:pPr>
        <w:pStyle w:val="style4097"/>
        <w:jc w:val="both"/>
        <w:rPr/>
      </w:pPr>
    </w:p>
    <w:p>
      <w:pPr>
        <w:pStyle w:val="style4097"/>
        <w:jc w:val="both"/>
        <w:rPr/>
      </w:pPr>
      <w:r>
        <w:t xml:space="preserve">Celkové hodnotenie žiaka v predmete sa </w:t>
      </w:r>
      <w:r>
        <w:t xml:space="preserve">bude </w:t>
      </w:r>
      <w:r>
        <w:t>vykonáva</w:t>
      </w:r>
      <w:r>
        <w:t>ť</w:t>
      </w:r>
      <w:r>
        <w:t xml:space="preserve"> klasifikáciou. Žiaci sú s hodnotením predmetu oboznámení na 1. vyučovacej hodine. </w:t>
      </w:r>
    </w:p>
    <w:p>
      <w:pPr>
        <w:pStyle w:val="style0"/>
        <w:spacing w:after="0" w:lineRule="auto" w:line="240"/>
        <w:jc w:val="both"/>
        <w:rPr>
          <w:rFonts w:ascii="Times New Roman" w:cs="Times New Roman" w:hAnsi="Times New Roman"/>
          <w:sz w:val="24"/>
          <w:szCs w:val="24"/>
        </w:rPr>
      </w:pPr>
      <w:r>
        <w:rPr>
          <w:rFonts w:ascii="Times New Roman" w:cs="Times New Roman" w:eastAsia="Times New Roman" w:hAnsi="Times New Roman"/>
          <w:sz w:val="24"/>
          <w:szCs w:val="24"/>
          <w:lang w:eastAsia="sk-SK"/>
        </w:rPr>
        <w:t>Pri hodnotení vychádzame z Metodického pokynu č. 22/2011 z 1.mája 2011 na hodnotenie žiakov základnej školy</w:t>
      </w:r>
      <w:r>
        <w:rPr>
          <w:rFonts w:ascii="Times New Roman" w:cs="Times New Roman" w:eastAsia="Times New Roman" w:hAnsi="Times New Roman"/>
          <w:sz w:val="24"/>
          <w:szCs w:val="24"/>
          <w:lang w:eastAsia="sk-SK"/>
        </w:rPr>
        <w:t>.</w:t>
      </w:r>
    </w:p>
    <w:p>
      <w:pPr>
        <w:pStyle w:val="style4097"/>
        <w:jc w:val="both"/>
        <w:rPr/>
      </w:pPr>
      <w:r>
        <w:t xml:space="preserve">Ťažiskovou formou hodnotenia je osobný rozhovor so žiakom, v ktorom učiteľ poskytne citlivú, veku primeranú spätnú väzbu o rôznych aspektoch jeho činnosti. Túto formu budeme kombinovať so seba hodnotením žiaka. </w:t>
      </w:r>
    </w:p>
    <w:p>
      <w:pPr>
        <w:pStyle w:val="style4097"/>
        <w:jc w:val="both"/>
        <w:rPr/>
      </w:pPr>
      <w:r>
        <w:t xml:space="preserve">Nie je nutné známkovať každú prácu a každý výkon žiaka. Je na voľbe učiteľa, ktoré úlohy bude hodnotiť, aby poskytli žiakovi dostatočný obraz o jeho kvalitách a vývoji. Žiak by však mal byť hodnotený z úloh v rámci rozličných metodických radov, aby bola vyváženosť výkonu žiaka. </w:t>
      </w:r>
    </w:p>
    <w:p>
      <w:pPr>
        <w:pStyle w:val="style157"/>
        <w:rPr>
          <w:rFonts w:ascii="Times New Roman" w:cs="Times New Roman" w:hAnsi="Times New Roman"/>
          <w:sz w:val="24"/>
          <w:szCs w:val="24"/>
        </w:rPr>
      </w:pPr>
    </w:p>
    <w:p>
      <w:pPr>
        <w:pStyle w:val="style0"/>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Podklady</w:t>
      </w:r>
      <w:r>
        <w:rPr>
          <w:rFonts w:ascii="Times New Roman" w:cs="Times New Roman" w:eastAsia="Times New Roman" w:hAnsi="Times New Roman"/>
          <w:sz w:val="24"/>
          <w:szCs w:val="24"/>
          <w:lang w:eastAsia="sk-SK"/>
        </w:rPr>
        <w:t xml:space="preserve"> na hodnotenie a klasifikáciu žiaka</w:t>
      </w:r>
      <w:r>
        <w:rPr>
          <w:rFonts w:ascii="Times New Roman" w:cs="Times New Roman" w:eastAsia="Times New Roman" w:hAnsi="Times New Roman"/>
          <w:sz w:val="24"/>
          <w:szCs w:val="24"/>
          <w:lang w:eastAsia="sk-SK"/>
        </w:rPr>
        <w:t xml:space="preserve"> učiteľ získa: </w:t>
      </w:r>
    </w:p>
    <w:p>
      <w:pPr>
        <w:pStyle w:val="style4097"/>
        <w:jc w:val="both"/>
        <w:rPr/>
      </w:pPr>
      <w:r>
        <w:t xml:space="preserve">a) priebeh vytvárania postojov: </w:t>
      </w:r>
    </w:p>
    <w:p>
      <w:pPr>
        <w:pStyle w:val="style4097"/>
        <w:numPr>
          <w:ilvl w:val="0"/>
          <w:numId w:val="3"/>
        </w:numPr>
        <w:jc w:val="both"/>
        <w:rPr/>
      </w:pPr>
      <w:r>
        <w:t xml:space="preserve">prístup k činnostiam z hľadiska tvorivosti, t.j. uplatnenie vlastných inovatívnych </w:t>
      </w:r>
    </w:p>
    <w:p>
      <w:pPr>
        <w:pStyle w:val="style4097"/>
        <w:ind w:left="720"/>
        <w:jc w:val="both"/>
        <w:rPr/>
      </w:pPr>
      <w:r>
        <w:t>nápadov a vlastného zamerania pri realizácii edukačnej úlohy</w:t>
      </w:r>
      <w:r>
        <w:t>,</w:t>
      </w:r>
      <w:r>
        <w:t xml:space="preserve"> </w:t>
      </w:r>
    </w:p>
    <w:p>
      <w:pPr>
        <w:pStyle w:val="style4097"/>
        <w:numPr>
          <w:ilvl w:val="0"/>
          <w:numId w:val="3"/>
        </w:numPr>
        <w:jc w:val="both"/>
        <w:rPr/>
      </w:pPr>
      <w:r>
        <w:t xml:space="preserve">otvorenosť voči experimentovaniu, skúšanie iných, svojských riešení </w:t>
      </w:r>
    </w:p>
    <w:p>
      <w:pPr>
        <w:pStyle w:val="style4097"/>
        <w:numPr>
          <w:ilvl w:val="0"/>
          <w:numId w:val="3"/>
        </w:numPr>
        <w:jc w:val="both"/>
        <w:rPr/>
      </w:pPr>
      <w:r>
        <w:t>cieľavedomosť riešení</w:t>
      </w:r>
      <w:r>
        <w:t>,</w:t>
      </w:r>
      <w:r>
        <w:t xml:space="preserve"> </w:t>
      </w:r>
    </w:p>
    <w:p>
      <w:pPr>
        <w:pStyle w:val="style4097"/>
        <w:numPr>
          <w:ilvl w:val="0"/>
          <w:numId w:val="3"/>
        </w:numPr>
        <w:jc w:val="both"/>
        <w:rPr/>
      </w:pPr>
      <w:r>
        <w:t>záujem o činnosti v rámci edukačných úloh a prípravy pomôcok</w:t>
      </w:r>
      <w:r>
        <w:t>,</w:t>
      </w:r>
      <w:r>
        <w:t xml:space="preserve"> </w:t>
      </w:r>
    </w:p>
    <w:p>
      <w:pPr>
        <w:pStyle w:val="style4097"/>
        <w:numPr>
          <w:ilvl w:val="0"/>
          <w:numId w:val="3"/>
        </w:numPr>
        <w:jc w:val="both"/>
        <w:rPr/>
      </w:pPr>
      <w:r>
        <w:t>schopnosť zaujímať stanoviská k výsledkom s</w:t>
      </w:r>
      <w:r>
        <w:t>vojej práce a práce spolužiakov.</w:t>
      </w:r>
    </w:p>
    <w:p>
      <w:pPr>
        <w:pStyle w:val="style4097"/>
        <w:jc w:val="both"/>
        <w:rPr/>
      </w:pPr>
      <w:r>
        <w:t xml:space="preserve">b) priebeh získavania zručností a spôsobilostí: </w:t>
      </w:r>
    </w:p>
    <w:p>
      <w:pPr>
        <w:pStyle w:val="style4097"/>
        <w:numPr>
          <w:ilvl w:val="0"/>
          <w:numId w:val="4"/>
        </w:numPr>
        <w:jc w:val="both"/>
        <w:rPr/>
      </w:pPr>
      <w:r>
        <w:t xml:space="preserve">technické zručnosti (ovládanie požadovaných nástrojov, materiálov a technických </w:t>
      </w:r>
    </w:p>
    <w:p>
      <w:pPr>
        <w:pStyle w:val="style4097"/>
        <w:ind w:left="720"/>
        <w:jc w:val="both"/>
        <w:rPr/>
      </w:pPr>
      <w:r>
        <w:t>operácií s nimi)</w:t>
      </w:r>
      <w:r>
        <w:t>,</w:t>
      </w:r>
      <w:r>
        <w:t xml:space="preserve"> </w:t>
      </w:r>
    </w:p>
    <w:p>
      <w:pPr>
        <w:pStyle w:val="style4097"/>
        <w:numPr>
          <w:ilvl w:val="0"/>
          <w:numId w:val="4"/>
        </w:numPr>
        <w:jc w:val="both"/>
        <w:rPr/>
      </w:pPr>
      <w:r>
        <w:t>formálne zručnosti (vyjadrovanie sa prostredníctvom výtvarného jazyka)</w:t>
      </w:r>
      <w:r>
        <w:t>,</w:t>
      </w:r>
      <w:r>
        <w:t xml:space="preserve"> </w:t>
      </w:r>
    </w:p>
    <w:p>
      <w:pPr>
        <w:pStyle w:val="style4097"/>
        <w:numPr>
          <w:ilvl w:val="0"/>
          <w:numId w:val="4"/>
        </w:numPr>
        <w:jc w:val="both"/>
        <w:rPr/>
      </w:pPr>
      <w:r>
        <w:t>mentálne spôsobilosti na úrovni rozvoja vnímania a</w:t>
      </w:r>
      <w:r>
        <w:t> </w:t>
      </w:r>
      <w:r>
        <w:t>prežívania</w:t>
      </w:r>
      <w:r>
        <w:t>,</w:t>
      </w:r>
      <w:r>
        <w:t xml:space="preserve"> </w:t>
      </w:r>
    </w:p>
    <w:p>
      <w:pPr>
        <w:pStyle w:val="style4097"/>
        <w:numPr>
          <w:ilvl w:val="0"/>
          <w:numId w:val="4"/>
        </w:numPr>
        <w:jc w:val="both"/>
        <w:rPr/>
      </w:pPr>
      <w:r>
        <w:t>mentálne spôsobilosti na úrovni rozvoja predstavivosti a</w:t>
      </w:r>
      <w:r>
        <w:t> </w:t>
      </w:r>
      <w:r>
        <w:t>fantázie</w:t>
      </w:r>
      <w:r>
        <w:t>,</w:t>
      </w:r>
      <w:r>
        <w:t xml:space="preserve"> </w:t>
      </w:r>
    </w:p>
    <w:p>
      <w:pPr>
        <w:pStyle w:val="style4097"/>
        <w:numPr>
          <w:ilvl w:val="0"/>
          <w:numId w:val="4"/>
        </w:numPr>
        <w:jc w:val="both"/>
        <w:rPr/>
      </w:pPr>
      <w:r>
        <w:t xml:space="preserve">mentálne spôsobilosti na úrovni myslenia (vlastné témy, koncepcie, návrhy, schopnosť </w:t>
      </w:r>
    </w:p>
    <w:p>
      <w:pPr>
        <w:pStyle w:val="style4097"/>
        <w:ind w:left="720"/>
        <w:jc w:val="both"/>
        <w:rPr/>
      </w:pPr>
      <w:r>
        <w:t>analyzovať a syntetizovať, pomenovať procesy, interpretovať zážitky)</w:t>
      </w:r>
      <w:r>
        <w:t>.</w:t>
      </w:r>
      <w:r>
        <w:t xml:space="preserve"> </w:t>
      </w:r>
    </w:p>
    <w:p>
      <w:pPr>
        <w:pStyle w:val="style4097"/>
        <w:jc w:val="both"/>
        <w:rPr/>
      </w:pPr>
      <w:r>
        <w:t xml:space="preserve">c) priebeh získavania vedomostí: </w:t>
      </w:r>
    </w:p>
    <w:p>
      <w:pPr>
        <w:pStyle w:val="style4097"/>
        <w:numPr>
          <w:ilvl w:val="0"/>
          <w:numId w:val="1"/>
        </w:numPr>
        <w:jc w:val="both"/>
        <w:rPr/>
      </w:pPr>
      <w:r>
        <w:t xml:space="preserve">znalosti oblastí vizuálnej kultúry a výtvarného umenia súvisiacich s preberanými </w:t>
      </w:r>
    </w:p>
    <w:p>
      <w:pPr>
        <w:pStyle w:val="style4097"/>
        <w:ind w:left="720"/>
        <w:jc w:val="both"/>
        <w:rPr/>
      </w:pPr>
      <w:r>
        <w:t>edukačnými úloham</w:t>
      </w:r>
      <w:r>
        <w:t>i,</w:t>
      </w:r>
    </w:p>
    <w:p>
      <w:pPr>
        <w:pStyle w:val="style4097"/>
        <w:numPr>
          <w:ilvl w:val="0"/>
          <w:numId w:val="1"/>
        </w:numPr>
        <w:jc w:val="both"/>
        <w:rPr/>
      </w:pPr>
      <w:r>
        <w:t>pochopenie výtvarného diela a schopnosť interpretovať ho</w:t>
      </w:r>
      <w:r>
        <w:t>,</w:t>
      </w:r>
      <w:r>
        <w:t xml:space="preserve"> </w:t>
      </w:r>
    </w:p>
    <w:p>
      <w:pPr>
        <w:pStyle w:val="style4097"/>
        <w:numPr>
          <w:ilvl w:val="0"/>
          <w:numId w:val="1"/>
        </w:numPr>
        <w:jc w:val="both"/>
        <w:rPr/>
      </w:pPr>
      <w:r>
        <w:t>znalosť materiálov, techník, médií a procesov ich používania</w:t>
      </w:r>
      <w:r>
        <w:t>.</w:t>
      </w:r>
      <w:r>
        <w:t xml:space="preserve"> </w:t>
      </w:r>
    </w:p>
    <w:p>
      <w:pPr>
        <w:pStyle w:val="style4097"/>
        <w:jc w:val="both"/>
        <w:rPr/>
      </w:pPr>
      <w:r>
        <w:t xml:space="preserve">d) schopnosť realizácie výsledného artefaktu. </w:t>
      </w:r>
    </w:p>
    <w:p>
      <w:pPr>
        <w:pStyle w:val="style4097"/>
        <w:jc w:val="both"/>
        <w:rPr/>
      </w:pPr>
    </w:p>
    <w:p>
      <w:pPr>
        <w:pStyle w:val="style4097"/>
        <w:jc w:val="both"/>
        <w:rPr/>
      </w:pPr>
      <w:r>
        <w:t xml:space="preserve">Orientačný opis naplnenia kritérií vo vzťahu ku škále hodnotenia výtvarnej výchovy: </w:t>
      </w:r>
    </w:p>
    <w:p>
      <w:pPr>
        <w:pStyle w:val="style4097"/>
        <w:jc w:val="both"/>
        <w:rPr/>
      </w:pPr>
    </w:p>
    <w:p>
      <w:pPr>
        <w:pStyle w:val="style4097"/>
        <w:jc w:val="both"/>
        <w:rPr/>
      </w:pPr>
      <w:r>
        <w:t xml:space="preserve">Klasifikácia: </w:t>
      </w:r>
    </w:p>
    <w:p>
      <w:pPr>
        <w:pStyle w:val="style4097"/>
        <w:jc w:val="both"/>
        <w:rPr/>
      </w:pPr>
      <w:r>
        <w:t xml:space="preserve">Stupeň 1 (výborný) </w:t>
      </w:r>
    </w:p>
    <w:p>
      <w:pPr>
        <w:pStyle w:val="style4097"/>
        <w:jc w:val="both"/>
        <w:rPr/>
      </w:pPr>
      <w:r>
        <w:t>Žiak spĺňa kritériá</w:t>
      </w:r>
      <w:r>
        <w:t xml:space="preserve"> na vynikajúcej úrovni. Je iniciatívny a tvorivý vo výtvarnom vyjadrovaní, uplatňuje vlastné nápady, je otvorený voči novým podnetom a experimentovaniu, dokáže vyjadriť veku primerané postoje (vkus, názor, spolupráca, individualita) v oblasti vizuálnej kultúry, ovláda zručnosti (technické, nástrojové, materiálové) podľa požiadaviek ročníkových kompetencií na vynikajúcej úrovni, preukazuje veku primerané mentálne spôsobilosti – na úrovni vnímania, fantázie a predstavivosti, vytvárania vlastných koncepcií, dokáže veku primerane pomenúvať a interpretovať svoje zážitky, činnosti a ich výsledky, preukazuje vedomosti z oblasti vizuálnej kultúry primerané edukačným úlohám (v nižších ročníkoch </w:t>
      </w:r>
      <w:r>
        <w:t xml:space="preserve">najmä vedomosti o materiáloch, nástrojoch, základných technikách a druhoch vizuálnych umení, dokáže rešpektovať vlastný tvorivý výsledok a je tolerantný voči tvorivým prejavom, názorom a vkusu iných, zrealizoval artefakt primerane svojmu veku a schopnostiam. </w:t>
      </w:r>
    </w:p>
    <w:p>
      <w:pPr>
        <w:pStyle w:val="style4097"/>
        <w:jc w:val="both"/>
        <w:rPr/>
      </w:pPr>
      <w:r>
        <w:t xml:space="preserve">Stupeň 2 (chválitebný) </w:t>
      </w:r>
    </w:p>
    <w:p>
      <w:pPr>
        <w:pStyle w:val="style4097"/>
        <w:jc w:val="both"/>
        <w:rPr/>
      </w:pPr>
      <w:r>
        <w:t xml:space="preserve">Žiak v podstate spĺňa kritériá 1.stupňa hodnotenia, ale je menej samostatný, iniciatívny </w:t>
      </w:r>
    </w:p>
    <w:p>
      <w:pPr>
        <w:pStyle w:val="style4097"/>
        <w:jc w:val="both"/>
        <w:rPr/>
      </w:pPr>
      <w:r>
        <w:t xml:space="preserve">a tvorivý. </w:t>
      </w:r>
    </w:p>
    <w:p>
      <w:pPr>
        <w:pStyle w:val="style4097"/>
        <w:jc w:val="both"/>
        <w:rPr/>
      </w:pPr>
      <w:r>
        <w:t xml:space="preserve">Stupeň 3 (dobrý) </w:t>
      </w:r>
    </w:p>
    <w:p>
      <w:pPr>
        <w:pStyle w:val="style4097"/>
        <w:jc w:val="both"/>
        <w:rPr/>
      </w:pPr>
      <w:r>
        <w:t xml:space="preserve">Žiak realizuje edukačné úlohy priemerne, chýba mu iniciatívnosť, tvorivosť, tolerancia, </w:t>
      </w:r>
    </w:p>
    <w:p>
      <w:pPr>
        <w:pStyle w:val="style4097"/>
        <w:jc w:val="both"/>
        <w:rPr/>
      </w:pPr>
      <w:r>
        <w:t xml:space="preserve">nerozširuje svoju flexibilnosť, neosvojuje si nové vyjadrovacie prostriedky, podlieha </w:t>
      </w:r>
    </w:p>
    <w:p>
      <w:pPr>
        <w:pStyle w:val="style4097"/>
        <w:jc w:val="both"/>
        <w:rPr/>
      </w:pPr>
      <w:r>
        <w:t xml:space="preserve">predsudkom a stereotypom. </w:t>
      </w:r>
    </w:p>
    <w:p>
      <w:pPr>
        <w:pStyle w:val="style4097"/>
        <w:jc w:val="both"/>
        <w:rPr/>
      </w:pPr>
      <w:r>
        <w:t xml:space="preserve">Stupeň 4 (dostatočný) </w:t>
      </w:r>
    </w:p>
    <w:p>
      <w:pPr>
        <w:pStyle w:val="style4097"/>
        <w:jc w:val="both"/>
        <w:rPr/>
      </w:pPr>
      <w:r>
        <w:t>Žiak realizuje eduka</w:t>
      </w:r>
      <w:r>
        <w:t xml:space="preserve">čné úlohy na nízkej úrovni, bez vlastného vkladu, s ťažkosťami aplikuje </w:t>
      </w:r>
    </w:p>
    <w:p>
      <w:pPr>
        <w:pStyle w:val="style4097"/>
        <w:jc w:val="both"/>
        <w:rPr/>
      </w:pPr>
      <w:r>
        <w:t xml:space="preserve">získané zručnosti a poznatky v nových oblastiach. </w:t>
      </w:r>
    </w:p>
    <w:p>
      <w:pPr>
        <w:pStyle w:val="style4097"/>
        <w:jc w:val="both"/>
        <w:rPr/>
      </w:pPr>
      <w:r>
        <w:t xml:space="preserve">Stupeň 5 (nedostatočný) </w:t>
      </w:r>
    </w:p>
    <w:p>
      <w:pPr>
        <w:pStyle w:val="style4097"/>
        <w:jc w:val="both"/>
        <w:rPr/>
      </w:pPr>
      <w:r>
        <w:t xml:space="preserve">Žiak nespĺňa kritériá, nemá záujem o výtvarné aktivity, neguje vyučovací proces. </w:t>
      </w:r>
    </w:p>
    <w:p>
      <w:pPr>
        <w:pStyle w:val="style4097"/>
        <w:jc w:val="both"/>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pPr>
      <w:r>
        <w:rPr>
          <w:b/>
          <w:bCs/>
        </w:rPr>
        <w:t xml:space="preserve">Pracovné vyučovanie </w:t>
      </w:r>
    </w:p>
    <w:p>
      <w:pPr>
        <w:pStyle w:val="style4097"/>
        <w:rPr/>
      </w:pPr>
    </w:p>
    <w:p>
      <w:pPr>
        <w:pStyle w:val="style4097"/>
        <w:jc w:val="both"/>
        <w:rPr/>
      </w:pPr>
      <w:r>
        <w:t xml:space="preserve">Celkové hodnotenie žiaka v predmete sa vykonáva klasifikáciou. Žiaci sú s hodnotením predmetu oboznámení na 1. vyučovacej hodine. </w:t>
      </w:r>
    </w:p>
    <w:p>
      <w:pPr>
        <w:pStyle w:val="style0"/>
        <w:spacing w:after="0" w:lineRule="auto" w:line="240"/>
        <w:jc w:val="both"/>
        <w:rPr>
          <w:rFonts w:ascii="Times New Roman" w:cs="Times New Roman" w:hAnsi="Times New Roman"/>
          <w:sz w:val="24"/>
          <w:szCs w:val="24"/>
        </w:rPr>
      </w:pPr>
      <w:r>
        <w:rPr>
          <w:rFonts w:ascii="Times New Roman" w:cs="Times New Roman" w:eastAsia="Times New Roman" w:hAnsi="Times New Roman"/>
          <w:sz w:val="24"/>
          <w:szCs w:val="24"/>
          <w:lang w:eastAsia="sk-SK"/>
        </w:rPr>
        <w:t>Pri hodnotení vychádzame z Metodického pokynu č. 22/2011 z 1.mája 2011 na hodnotenie žiakov základnej školy</w:t>
      </w:r>
      <w:r>
        <w:rPr>
          <w:rFonts w:ascii="Times New Roman" w:cs="Times New Roman" w:eastAsia="Times New Roman" w:hAnsi="Times New Roman"/>
          <w:sz w:val="24"/>
          <w:szCs w:val="24"/>
          <w:lang w:eastAsia="sk-SK"/>
        </w:rPr>
        <w:t>.</w:t>
      </w:r>
    </w:p>
    <w:p>
      <w:pPr>
        <w:pStyle w:val="style4097"/>
        <w:jc w:val="both"/>
        <w:rPr/>
      </w:pPr>
      <w:r>
        <w:t xml:space="preserve">Pracovné vyučovanie je špecifický predmet, v ktorom sa hodnotí duševná a manuálna činnosť. </w:t>
      </w:r>
    </w:p>
    <w:p>
      <w:pPr>
        <w:pStyle w:val="style0"/>
        <w:spacing w:after="0" w:lineRule="auto" w:line="240"/>
        <w:jc w:val="both"/>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t>Podklady</w:t>
      </w:r>
      <w:r>
        <w:rPr>
          <w:rFonts w:ascii="Times New Roman" w:cs="Times New Roman" w:eastAsia="Times New Roman" w:hAnsi="Times New Roman"/>
          <w:sz w:val="24"/>
          <w:szCs w:val="24"/>
          <w:lang w:eastAsia="sk-SK"/>
        </w:rPr>
        <w:t xml:space="preserve"> na hodnotenie a klasifikáciu žiaka</w:t>
      </w:r>
      <w:r>
        <w:rPr>
          <w:rFonts w:ascii="Times New Roman" w:cs="Times New Roman" w:eastAsia="Times New Roman" w:hAnsi="Times New Roman"/>
          <w:sz w:val="24"/>
          <w:szCs w:val="24"/>
          <w:lang w:eastAsia="sk-SK"/>
        </w:rPr>
        <w:t xml:space="preserve"> učiteľ získa: </w:t>
      </w:r>
    </w:p>
    <w:p>
      <w:pPr>
        <w:pStyle w:val="style4097"/>
        <w:numPr>
          <w:ilvl w:val="0"/>
          <w:numId w:val="2"/>
        </w:numPr>
        <w:jc w:val="both"/>
        <w:rPr/>
      </w:pPr>
      <w:r>
        <w:t>tímová práca a vzájomná komunikácia v tíme, schopnosť riešenia problémov, vlastný názor, zhotovenie jednoduchého výrobku alebo úžitkového predmetu ( treba oceniť aj snahu nie len konečný produkt), začiatočné aj nadobudnuté technické</w:t>
      </w:r>
      <w:r>
        <w:t xml:space="preserve"> vedomosti, zručnosti a návyky</w:t>
      </w:r>
    </w:p>
    <w:p>
      <w:pPr>
        <w:pStyle w:val="style4097"/>
        <w:rPr/>
      </w:pPr>
      <w:r>
        <w:t xml:space="preserve">Kritériá hodnotenia: </w:t>
      </w:r>
    </w:p>
    <w:p>
      <w:pPr>
        <w:pStyle w:val="style4097"/>
        <w:rPr/>
      </w:pPr>
      <w:r>
        <w:t xml:space="preserve">Výborný (1) </w:t>
      </w:r>
    </w:p>
    <w:p>
      <w:pPr>
        <w:pStyle w:val="style4097"/>
        <w:jc w:val="both"/>
        <w:rPr/>
      </w:pPr>
      <w:r>
        <w:t xml:space="preserve">Žiak ovláda poznatky, pojmy a zákonitosti podľa učebných osnov a vie ich pohotovo využívať pri intelektuálnych a praktických činnostiach. Samostatne a tvorivo uplatňuje osvojené vedomosti pri pracovných činnostiach, ktoré sú kvalitné a originálne. Okrem osvojených vedomostí a manuálnych zručností sa hodnotí snaha a záujem o predmet pracovné vyučovanie. Výsledky jeho činnosti sú kvalitné až originálne. </w:t>
      </w:r>
    </w:p>
    <w:p>
      <w:pPr>
        <w:pStyle w:val="style4097"/>
        <w:rPr/>
      </w:pPr>
      <w:r>
        <w:t xml:space="preserve">Chválitebný (2) </w:t>
      </w:r>
    </w:p>
    <w:p>
      <w:pPr>
        <w:pStyle w:val="style4097"/>
        <w:jc w:val="both"/>
        <w:rPr/>
      </w:pPr>
      <w:r>
        <w:t xml:space="preserve">Žiak v podstate spĺňa kritéria 1. stupňa hodnotenia ale je menej aktívny a samostatný v pracovných činnostiach. Výsledky jeho činnosti sú kvalitné, bez veľkých nedostatkov. </w:t>
      </w:r>
    </w:p>
    <w:p>
      <w:pPr>
        <w:pStyle w:val="style4097"/>
        <w:rPr/>
      </w:pPr>
      <w:r>
        <w:t xml:space="preserve">Dobrý (3) </w:t>
      </w:r>
    </w:p>
    <w:p>
      <w:pPr>
        <w:pStyle w:val="style4097"/>
        <w:rPr/>
      </w:pPr>
      <w:r>
        <w:t xml:space="preserve">Žiak realizuje pracovné činnosti priemerne, je málo aktívny, ťažko si osvojuje nové pracovné zručnosti a činnosti. Výsledky jeho činnosti sú menej kvalitné. </w:t>
      </w:r>
    </w:p>
    <w:p>
      <w:pPr>
        <w:pStyle w:val="style4097"/>
        <w:rPr/>
      </w:pPr>
      <w:r>
        <w:t xml:space="preserve">Dostatočný (4) </w:t>
      </w:r>
    </w:p>
    <w:p>
      <w:pPr>
        <w:pStyle w:val="style4097"/>
        <w:rPr/>
      </w:pPr>
      <w:r>
        <w:t xml:space="preserve">Žiak realizuje pracovné činnosti na nízkej úrovni, s ťažkosťami zvláda praktické zručnosti. Väčšie nedostatky dokáže žiak s pomocou učiteľa opraviť. </w:t>
      </w:r>
    </w:p>
    <w:p>
      <w:pPr>
        <w:pStyle w:val="style4097"/>
        <w:rPr/>
      </w:pPr>
      <w:r>
        <w:t xml:space="preserve">Nedostatočný (5) </w:t>
      </w:r>
    </w:p>
    <w:p>
      <w:pPr>
        <w:pStyle w:val="style4097"/>
        <w:jc w:val="both"/>
        <w:rPr/>
      </w:pPr>
      <w:r>
        <w:t xml:space="preserve">Žiak nespĺňa kritéria, nemá záujem o pracovné vyučovanie, nenosí si pomôcky na hodinu. Jeho vedomosti sú na veľmi nízkej úrovni, preto ich nedokáže uplatniť pri pracovných činnostiach. </w:t>
      </w: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pPr>
      <w:r>
        <w:rPr>
          <w:b/>
          <w:bCs/>
        </w:rPr>
        <w:t xml:space="preserve">Telesná výchova </w:t>
      </w:r>
    </w:p>
    <w:p>
      <w:pPr>
        <w:pStyle w:val="style4097"/>
        <w:rPr/>
      </w:pPr>
    </w:p>
    <w:p>
      <w:pPr>
        <w:pStyle w:val="style4097"/>
        <w:jc w:val="both"/>
        <w:rPr/>
      </w:pPr>
      <w:r>
        <w:t xml:space="preserve">Celkové hodnotenie žiaka v predmete sa </w:t>
      </w:r>
      <w:r>
        <w:t xml:space="preserve">bude </w:t>
      </w:r>
      <w:r>
        <w:t>vykonáva</w:t>
      </w:r>
      <w:r>
        <w:t>ť</w:t>
      </w:r>
      <w:r>
        <w:t xml:space="preserve"> klasifikáciou. Žiaci sú s hodnotením predmetu oboznámení na 1. vyučovacej hodine. </w:t>
      </w:r>
    </w:p>
    <w:p>
      <w:pPr>
        <w:pStyle w:val="style4097"/>
        <w:jc w:val="both"/>
        <w:rPr/>
      </w:pPr>
      <w:r>
        <w:rPr>
          <w:rFonts w:eastAsia="Times New Roman"/>
          <w:lang w:eastAsia="sk-SK"/>
        </w:rPr>
        <w:t xml:space="preserve"> Pri hodnotení vychádzame z Metodického pokynu č. 22/2011 z 1.mája 2011 na hodnotenie žiakov základnej školy</w:t>
      </w:r>
      <w:r>
        <w:rPr>
          <w:rFonts w:eastAsia="Times New Roman"/>
          <w:lang w:eastAsia="sk-SK"/>
        </w:rPr>
        <w:t>.</w:t>
      </w:r>
    </w:p>
    <w:p>
      <w:pPr>
        <w:pStyle w:val="style4097"/>
        <w:jc w:val="both"/>
        <w:rPr/>
      </w:pPr>
      <w:r>
        <w:t xml:space="preserve">Za najdôležitejšie pri hodnotení žiaka v telesnej výchove sa považuje nielen to, aké dôsledky zanechala táto činnosť na zlepšení jeho zdravia, pohybovej gramotnosti a výkonnosti, telesnej zdatnosti, ale vo väčšom rozsahu aj to, či žiak získal k tejto činnosti vzťah, či sa na nej so záujmom zúčastňoval, či pociťoval z nej radosť a potešenie, či sa stala súčasťou jeho životného štýlu. </w:t>
      </w:r>
    </w:p>
    <w:p>
      <w:pPr>
        <w:pStyle w:val="style4097"/>
        <w:jc w:val="both"/>
        <w:rPr/>
      </w:pPr>
      <w:r>
        <w:t xml:space="preserve">Preto za základné ukazovatele hodnotenia žiaka sa považuje: posúdenie prístupu a postojov žiaka, najmä jeho vzťahu k pohybovej aktivite a vyučovaniu telesnej a športovej výchovy a jeho sociálneho správania a adaptácie; rozvoj telesných, pohybových a funkčných schopností žiaka, najmä rozvoj zdravotne orientovanej telesnej zdatnosti a pohybovej výkonnosti s prihliadnutím na individuálne predpoklady žiaka; proces učenia sa, osvojovania, zdokonaľovania a upevňovania pohybových zručností . </w:t>
      </w:r>
    </w:p>
    <w:p>
      <w:pPr>
        <w:pStyle w:val="style157"/>
        <w:jc w:val="both"/>
        <w:rPr>
          <w:rFonts w:ascii="Times New Roman" w:cs="Times New Roman" w:hAnsi="Times New Roman"/>
          <w:sz w:val="24"/>
          <w:szCs w:val="24"/>
        </w:rPr>
      </w:pPr>
      <w:r>
        <w:rPr>
          <w:rFonts w:ascii="Times New Roman" w:cs="Times New Roman" w:hAnsi="Times New Roman"/>
          <w:sz w:val="24"/>
          <w:szCs w:val="24"/>
        </w:rPr>
        <w:t xml:space="preserve">Predmet je klasifikovaný na základe: splnenia kritérií pre jednotlivé športové aktivity v tematických celkoch (najmä individuálne zlepšenie v pohybových zručnostiach), snaha o lepšie výkony, aktívna účasť na vyučovacích hodinách, záujem o telesnú výchovu a vzťah k predmetu telesná výchova. </w:t>
      </w:r>
    </w:p>
    <w:p>
      <w:pPr>
        <w:pStyle w:val="style4097"/>
        <w:rPr/>
      </w:pPr>
      <w:r>
        <w:t xml:space="preserve">Hodnotenie: </w:t>
      </w:r>
    </w:p>
    <w:p>
      <w:pPr>
        <w:pStyle w:val="style4097"/>
        <w:rPr/>
      </w:pPr>
      <w:r>
        <w:t xml:space="preserve">Výborný (1) </w:t>
      </w:r>
    </w:p>
    <w:p>
      <w:pPr>
        <w:pStyle w:val="style4097"/>
        <w:jc w:val="both"/>
        <w:rPr/>
      </w:pPr>
      <w:r>
        <w:t xml:space="preserve">Žiak spĺňa kritéria na vynikajúcej úrovni: má aktívny prístup a postoje vo vzťahu k pohybovej činnosti, má záujem rozvíjať pohybové a funkčné schopnosti (snaha podať čo najlepší výkon), je aktívny v procese učenia sa, osvojovania, zdokonaľovania a upevňovania pohybovej zručnosti, ovláda základné pravidlá atletických disciplín, gymnastiky a športových hier, dokáže zrealizovať pohybové zručnosti a činnosti primerané svojmu veku a schopnostiam. </w:t>
      </w:r>
    </w:p>
    <w:p>
      <w:pPr>
        <w:pStyle w:val="style4097"/>
        <w:jc w:val="both"/>
        <w:rPr/>
      </w:pPr>
      <w:r>
        <w:t xml:space="preserve">Chválitebný (2) </w:t>
      </w:r>
    </w:p>
    <w:p>
      <w:pPr>
        <w:pStyle w:val="style4097"/>
        <w:jc w:val="both"/>
        <w:rPr/>
      </w:pPr>
      <w:r>
        <w:t xml:space="preserve">Žiak v podstate spĺňa kritéria 1. stupňa hodnotenia, ale je menej aktívny a samostatný v pohybovej činnosti. </w:t>
      </w:r>
    </w:p>
    <w:p>
      <w:pPr>
        <w:pStyle w:val="style4097"/>
        <w:jc w:val="both"/>
        <w:rPr/>
      </w:pPr>
      <w:r>
        <w:t xml:space="preserve">Dobrý (3) </w:t>
      </w:r>
    </w:p>
    <w:p>
      <w:pPr>
        <w:pStyle w:val="style4097"/>
        <w:jc w:val="both"/>
        <w:rPr/>
      </w:pPr>
      <w:r>
        <w:t xml:space="preserve">Žiak realizuje pohybové činnosti a úlohy priemerne, je málo aktívny, ťažko si osvojuje nové pohybové zručnosti a činnosti. </w:t>
      </w:r>
    </w:p>
    <w:p>
      <w:pPr>
        <w:pStyle w:val="style4097"/>
        <w:jc w:val="both"/>
        <w:rPr/>
      </w:pPr>
      <w:r>
        <w:t xml:space="preserve">Dostatočný (4) </w:t>
      </w:r>
    </w:p>
    <w:p>
      <w:pPr>
        <w:pStyle w:val="style4097"/>
        <w:jc w:val="both"/>
        <w:rPr/>
      </w:pPr>
      <w:r>
        <w:t xml:space="preserve">Žiak realizuje pohybové činnosti na nízkej úrovni, s ťažkosťami zvláda nové pohybové zručnosti. </w:t>
      </w:r>
    </w:p>
    <w:p>
      <w:pPr>
        <w:pStyle w:val="style4097"/>
        <w:jc w:val="both"/>
        <w:rPr/>
      </w:pPr>
      <w:r>
        <w:t xml:space="preserve">Nedostatočný (5) </w:t>
      </w:r>
    </w:p>
    <w:p>
      <w:pPr>
        <w:pStyle w:val="style4097"/>
        <w:jc w:val="both"/>
        <w:rPr/>
      </w:pPr>
      <w:r>
        <w:t xml:space="preserve">Žiak nespĺňa kritéria, nemá záujem o telesnú výchovu, nenosí si úbor. </w:t>
      </w: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pPr>
      <w:r>
        <w:rPr>
          <w:b/>
          <w:bCs/>
        </w:rPr>
        <w:t xml:space="preserve">Pohybová príprava </w:t>
      </w:r>
    </w:p>
    <w:p>
      <w:pPr>
        <w:pStyle w:val="style4097"/>
        <w:rPr/>
      </w:pPr>
    </w:p>
    <w:p>
      <w:pPr>
        <w:pStyle w:val="style4097"/>
        <w:jc w:val="both"/>
        <w:rPr/>
      </w:pPr>
      <w:r>
        <w:t xml:space="preserve">Celkové hodnotenie žiaka v predmete sa vykonáva klasifikáciou. Žiaci sú s hodnotením predmetu oboznámení na 1. vyučovacej hodine. </w:t>
      </w:r>
    </w:p>
    <w:p>
      <w:pPr>
        <w:pStyle w:val="style4097"/>
        <w:jc w:val="both"/>
        <w:rPr/>
      </w:pPr>
      <w:r>
        <w:t xml:space="preserve">Za najdôležitejšie pri hodnotení žiaka v pohybovej príprave sa považuje nielen to, aké dôsledky zanechala táto činnosť na zlepšení jeho zdravia, pohybovej gramotnosti a výkonnosti, telesnej zdatnosti, ale vo väčšom rozsahu aj to, či žiak získal k tejto činnosti vzťah, či sa na nej so záujmom zúčastňoval, či pociťoval z nej radosť a potešenie, či sa stala súčasťou jeho životného štýlu. </w:t>
      </w:r>
    </w:p>
    <w:p>
      <w:pPr>
        <w:pStyle w:val="style4097"/>
        <w:jc w:val="both"/>
        <w:rPr/>
      </w:pPr>
      <w:r>
        <w:t xml:space="preserve">Za základné ukazovatele hodnotenia žiaka sa považuje: posúdenie prístupu a postojov žiaka, najmä jeho vzťahu k pohybovej aktivite a športovej výchovy a jeho sociálneho správania a adaptácie, rozvoj telesných, pohybových a funkčných schopností žiaka, najmä rozvoj zdravotne orientovanej telesnej zdatnosti a pohybovej výkonnosti s prihliadnutím na individuálne predpoklady žiaka, proces učenia sa, osvojovania, zdokonaľovania a upevňovania pohybových zručností. </w:t>
      </w:r>
    </w:p>
    <w:p>
      <w:pPr>
        <w:pStyle w:val="style4097"/>
        <w:jc w:val="both"/>
        <w:rPr/>
      </w:pPr>
      <w:r>
        <w:t xml:space="preserve">Predmet je klasifikovaný na základe kritérií: individuálne zlepšenie v pohybových zručnostiach a v jednotlivých športových aktivitách, aktívna účasť na vyučovacích hodinách, záujem o pohybovú prípravu, vzťah k športovým a aktivitám. </w:t>
      </w:r>
    </w:p>
    <w:p>
      <w:pPr>
        <w:pStyle w:val="style4097"/>
        <w:jc w:val="both"/>
        <w:rPr/>
      </w:pPr>
      <w:r>
        <w:t xml:space="preserve">Hodnotenie žiaka – klasifikačnými stupňami: </w:t>
      </w:r>
    </w:p>
    <w:p>
      <w:pPr>
        <w:pStyle w:val="style4097"/>
        <w:rPr/>
      </w:pPr>
      <w:r>
        <w:t xml:space="preserve">Výborný (1) </w:t>
      </w:r>
    </w:p>
    <w:p>
      <w:pPr>
        <w:pStyle w:val="style4097"/>
        <w:jc w:val="both"/>
        <w:rPr/>
      </w:pPr>
      <w:r>
        <w:t xml:space="preserve">Žiak spĺňa kritéria na vynikajúcej úrovni, má aktívny prístup a postoje vo vzťahu k pohybovej činnosti, má záujem rozvíjať pohybové a funkčné schopnosti, je aktívny v procese učenia sa, osvojovania, zdokonaľovania a upevňovania pohybovej zručnosti, ovláda základné pravidlá atletických disciplín, gymnastiky a športových hier, dokáže zrealizovať pohybové zručnosti a činnosti primerané svojmu veku a schopnostiam. </w:t>
      </w:r>
    </w:p>
    <w:p>
      <w:pPr>
        <w:pStyle w:val="style4097"/>
        <w:rPr/>
      </w:pPr>
      <w:r>
        <w:t xml:space="preserve">Chválitebný (2) </w:t>
      </w:r>
    </w:p>
    <w:p>
      <w:pPr>
        <w:pStyle w:val="style157"/>
        <w:jc w:val="both"/>
        <w:rPr>
          <w:rFonts w:ascii="Times New Roman" w:cs="Times New Roman" w:hAnsi="Times New Roman"/>
          <w:sz w:val="24"/>
          <w:szCs w:val="24"/>
        </w:rPr>
      </w:pPr>
      <w:r>
        <w:rPr>
          <w:rFonts w:ascii="Times New Roman" w:cs="Times New Roman" w:hAnsi="Times New Roman"/>
          <w:sz w:val="24"/>
          <w:szCs w:val="24"/>
        </w:rPr>
        <w:t xml:space="preserve">Žiak v podstate spĺňa kritéria 1. stupňa hodnotenia ale je menej aktívny a samostatný v pohybovej činnosti. </w:t>
      </w:r>
    </w:p>
    <w:p>
      <w:pPr>
        <w:pStyle w:val="style4097"/>
        <w:rPr/>
      </w:pPr>
      <w:r>
        <w:t xml:space="preserve">Dobrý (3) </w:t>
      </w:r>
    </w:p>
    <w:p>
      <w:pPr>
        <w:pStyle w:val="style4097"/>
        <w:jc w:val="both"/>
        <w:rPr/>
      </w:pPr>
      <w:r>
        <w:t xml:space="preserve">Žiak realizuje pohybové činnosti a úlohy priemerne, je málo aktívny, ťažko si osvojuje nové pohybové zručnosti a činnosti. </w:t>
      </w:r>
    </w:p>
    <w:p>
      <w:pPr>
        <w:pStyle w:val="style4097"/>
        <w:rPr/>
      </w:pPr>
      <w:r>
        <w:t xml:space="preserve">Dostatočný (4) </w:t>
      </w:r>
    </w:p>
    <w:p>
      <w:pPr>
        <w:pStyle w:val="style4097"/>
        <w:jc w:val="both"/>
        <w:rPr/>
      </w:pPr>
      <w:r>
        <w:t xml:space="preserve">Žiak realizuje pohybové činnosti na nízkej úrovni, s ťažkosťami zvláda nové pohybové zručnosti. </w:t>
      </w:r>
    </w:p>
    <w:p>
      <w:pPr>
        <w:pStyle w:val="style4097"/>
        <w:rPr/>
      </w:pPr>
      <w:r>
        <w:t xml:space="preserve">Nedostatočný (5) </w:t>
      </w:r>
    </w:p>
    <w:p>
      <w:pPr>
        <w:pStyle w:val="style4097"/>
        <w:rPr/>
      </w:pPr>
      <w:r>
        <w:t>Žiak nespĺňa kritériá</w:t>
      </w:r>
      <w:r>
        <w:t>, nemá záujem o telesnú výchovu, nenosí si úb</w:t>
      </w:r>
      <w:r>
        <w:t>or.</w:t>
      </w: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p>
      <w:pPr>
        <w:pStyle w:val="style4097"/>
        <w:rPr>
          <w:b/>
          <w:bCs/>
        </w:rPr>
      </w:pPr>
    </w:p>
    <w:bookmarkStart w:id="0" w:name="_GoBack"/>
    <w:bookmarkEnd w:id="0"/>
    <w:p>
      <w:pPr>
        <w:pStyle w:val="style4097"/>
        <w:rPr/>
      </w:pPr>
      <w:r>
        <w:rPr>
          <w:b/>
          <w:bCs/>
        </w:rPr>
        <w:t>Hudobná výchova</w:t>
      </w:r>
    </w:p>
    <w:p>
      <w:pPr>
        <w:pStyle w:val="style4097"/>
        <w:rPr/>
      </w:pPr>
    </w:p>
    <w:p>
      <w:pPr>
        <w:pStyle w:val="style4097"/>
        <w:jc w:val="both"/>
        <w:rPr/>
      </w:pPr>
      <w:r>
        <w:t xml:space="preserve">Celkové hodnotenie žiaka v predmete sa </w:t>
      </w:r>
      <w:r>
        <w:t xml:space="preserve">bude </w:t>
      </w:r>
      <w:r>
        <w:t>vykonáva</w:t>
      </w:r>
      <w:r>
        <w:t>ť</w:t>
      </w:r>
      <w:r>
        <w:t xml:space="preserve"> klasifikáciou. Žiaci sú s hodnotením predmetu oboznámení na 1. vyučovacej hodine. </w:t>
      </w:r>
    </w:p>
    <w:p>
      <w:pPr>
        <w:pStyle w:val="style4097"/>
        <w:jc w:val="both"/>
        <w:rPr/>
      </w:pPr>
      <w:r>
        <w:rPr>
          <w:rFonts w:eastAsia="Times New Roman"/>
          <w:lang w:eastAsia="sk-SK"/>
        </w:rPr>
        <w:t xml:space="preserve"> Pri hodnotení vychádzame z Metodického pokynu č. 22/2011 z 1.mája 2011 na hodnotenie žiakov základnej školy</w:t>
      </w:r>
      <w:r>
        <w:rPr>
          <w:rFonts w:eastAsia="Times New Roman"/>
          <w:lang w:eastAsia="sk-SK"/>
        </w:rPr>
        <w:t>.</w:t>
      </w:r>
    </w:p>
    <w:p>
      <w:pPr>
        <w:pStyle w:val="style4097"/>
        <w:jc w:val="both"/>
        <w:rPr/>
      </w:pPr>
    </w:p>
    <w:p>
      <w:pPr>
        <w:pStyle w:val="style4097"/>
        <w:jc w:val="both"/>
        <w:rPr/>
      </w:pPr>
      <w:r>
        <w:t xml:space="preserve">Učiteľ hodnotí v hudobnej výchove výkony žiaka komplexne s prihliadnutím na jeho vynaložené úsilie. </w:t>
      </w:r>
    </w:p>
    <w:p>
      <w:pPr>
        <w:pStyle w:val="style4097"/>
        <w:jc w:val="both"/>
        <w:rPr/>
      </w:pPr>
      <w:r>
        <w:t xml:space="preserve">Charakter hudobnej výchovy vyžaduje hodnotiť postoj žiaka k hudbe, jeho estetické úsudky, snahu vzdelávať sa v hudbe a zlepšovať svoje hudobné prejavy. </w:t>
      </w:r>
    </w:p>
    <w:p>
      <w:pPr>
        <w:pStyle w:val="style4097"/>
        <w:jc w:val="both"/>
        <w:rPr/>
      </w:pPr>
      <w:r>
        <w:t xml:space="preserve">Učiteľ musí brať ohľad na predpoklady a predchádzajúce výkony žiaka, teda brať do úvahy aj komparačnú funkciu hodnotenia, správne odhadnúť pomer danosti, snahy a záujmu o hudbu a hudobnú výchovu, až potom úroveň hudobných činností a vedomostí. Ústne skúšky (individuálny a kolektívny spev, hudobné činnosti) prevyšujú písomné skúšky (hudobná náuka, zápis a orientácia v grafickom zázname melódie). </w:t>
      </w:r>
    </w:p>
    <w:p>
      <w:pPr>
        <w:pStyle w:val="style4097"/>
        <w:jc w:val="both"/>
        <w:rPr/>
      </w:pPr>
      <w:r>
        <w:t xml:space="preserve">V rámci predmetu hudobná výchova </w:t>
      </w:r>
      <w:r>
        <w:t xml:space="preserve">budeme uplatňovať </w:t>
      </w:r>
      <w:r>
        <w:t xml:space="preserve">tieto hlavné kritériá: priebeh vytvárania postojov, priebeh získavania zručností a spôsobilostí, priebeh získavania hudobných vedomostí. </w:t>
      </w:r>
    </w:p>
    <w:p>
      <w:pPr>
        <w:pStyle w:val="style4097"/>
        <w:jc w:val="both"/>
        <w:rPr/>
      </w:pPr>
      <w:r>
        <w:t xml:space="preserve">Pri hodnotení priebehu vytvárania postojov učiteľ u žiaka primerane veku hodnotí: záujem o hudobné činnosti a o hudobné umenie v rámci edukačných úloh, snahu, aktivitu, spoluprácu, ktorá vedie k danému výsledku, schopnosť spolupracovať pri kolektívnych hudobných prejavoch a edukačných úlohách, schopnosť posúdiť svoj výkon (hudobné prejavy a vedomosti) a výkon spolužiakov. </w:t>
      </w:r>
    </w:p>
    <w:p>
      <w:pPr>
        <w:pStyle w:val="style4097"/>
        <w:jc w:val="both"/>
        <w:rPr/>
      </w:pPr>
      <w:r>
        <w:t xml:space="preserve">Pri hodnotení priebehu vytvárania zručností a spôsobilostí učiteľ u žiaka primerane veku hodnotí: schopnosť spievať na základe svojich dispozícií intonačne čisto, rytmicky presne so zodpovedajúcim výrazom a využívať získané spevácke, intonačné a sluchové zručnosti a návyky, orientáciu žiaka v grafickom zázname jednohlasnej melódie, hru a tvorbu jednoduchých rytmických sprievodov k piesňam na detských rytmických nástrojoch, </w:t>
      </w:r>
    </w:p>
    <w:p>
      <w:pPr>
        <w:pStyle w:val="style4097"/>
        <w:jc w:val="both"/>
        <w:rPr/>
      </w:pPr>
      <w:r>
        <w:t xml:space="preserve">orientáciu v znejúcej hudbe na základe dominujúcich výrazových prostriedkov hudby a ich funkcií, pochopenie veku primeraných hudobných diel a schopnosť zážitky verbalizovať a zdôvodniť. </w:t>
      </w:r>
    </w:p>
    <w:p>
      <w:pPr>
        <w:pStyle w:val="style4097"/>
        <w:jc w:val="both"/>
        <w:rPr/>
      </w:pPr>
      <w:r>
        <w:t xml:space="preserve">Pri hodnotení priebehu získavania hudobných vedomostí učiteľ u žiaka primerane veku hodnotí: vedomosti z oblasti hudobnej kultúry a prvkov hudobnej náuky súvisiacich s preberanými edukačnými úlohami, poznanie najvýraznejších slovenských folklórnych regiónov, ich typické piesne a tance, slovenské zvykoslovie, poznanie mien najvýznamnejších slovenských a svetových hudobných skladateľov a ich najznámejších diel. </w:t>
      </w:r>
    </w:p>
    <w:p>
      <w:pPr>
        <w:pStyle w:val="style4097"/>
        <w:jc w:val="both"/>
        <w:rPr/>
      </w:pPr>
      <w:r>
        <w:t xml:space="preserve">Výchovno-vzdelávacie výsledky žiaka sa v predmete hudobná výchova klasifikujú podľa stanovených kritérií v primeranom rozsahu pre príslušný ročník štúdia. </w:t>
      </w:r>
    </w:p>
    <w:p>
      <w:pPr>
        <w:pStyle w:val="style4097"/>
        <w:jc w:val="both"/>
        <w:rPr/>
      </w:pPr>
      <w:r>
        <w:t xml:space="preserve">Stupňom 1 – výborný sa žiak klasifikuje, ak je usilovný, pracuje primerane svojmu veku prevažne samostatne, tvorivo a pohotovo uplatňuje osvojené zručnosti, vedomosti, návyky v úlohách, ktoré úspešne rozvíja v skupinovom a individuálnom prejave; dokáže vyjadriť </w:t>
      </w:r>
    </w:p>
    <w:p>
      <w:pPr>
        <w:pStyle w:val="style157"/>
        <w:jc w:val="both"/>
        <w:rPr>
          <w:rFonts w:ascii="Times New Roman" w:cs="Times New Roman" w:hAnsi="Times New Roman"/>
          <w:sz w:val="24"/>
          <w:szCs w:val="24"/>
        </w:rPr>
      </w:pPr>
      <w:r>
        <w:rPr>
          <w:rFonts w:ascii="Times New Roman" w:cs="Times New Roman" w:hAnsi="Times New Roman"/>
          <w:sz w:val="24"/>
          <w:szCs w:val="24"/>
        </w:rPr>
        <w:t xml:space="preserve">veku primerané postoje, názory na hudobné umenie; má aktívny záujem o hudobné umenie; individuálny spev nie je podmienkou, pokiaľ sa úspešne a aktívne realizuje v ostatných hudobných činnostiach. </w:t>
      </w:r>
    </w:p>
    <w:p>
      <w:pPr>
        <w:pStyle w:val="style4097"/>
        <w:jc w:val="both"/>
        <w:rPr/>
      </w:pPr>
      <w:r>
        <w:t xml:space="preserve">Stupňom 2 – chválitebný sa žiak klasifikuje, ak spĺňa kritériá, ale je menej samostatný, iniciatívny a tvorivý; menej využíva svoje schopnosti v individuálnom a kolektívnom prejave; potrebuje sústavnú pomoc učiteľa. </w:t>
      </w:r>
    </w:p>
    <w:p>
      <w:pPr>
        <w:pStyle w:val="style4097"/>
        <w:jc w:val="both"/>
        <w:rPr/>
      </w:pPr>
      <w:r>
        <w:t xml:space="preserve">Stupňom 3 – dobrý sa žiak klasifikuje, ak realizuje úlohy priemerne, chýba mu iniciatívnosť a tvorivosť, je málo aktívny a snaživý, potrebuje sústavnú pomoc a povzbudenie učiteľa. </w:t>
      </w:r>
    </w:p>
    <w:p>
      <w:pPr>
        <w:pStyle w:val="style4097"/>
        <w:jc w:val="both"/>
        <w:rPr/>
      </w:pPr>
      <w:r>
        <w:t xml:space="preserve">Stupňom 4 – dostatočný sa žiak klasifikuje, ak žiak realizuje edukačné úlohy na nízkej úrovni, bez vlastného vkladu. </w:t>
      </w:r>
    </w:p>
    <w:p>
      <w:pPr>
        <w:pStyle w:val="style4097"/>
        <w:jc w:val="both"/>
        <w:rPr/>
      </w:pPr>
      <w:r>
        <w:t xml:space="preserve">Stupňom 5 – nedostatočný sa žiak klasifikuje, ak nespĺňa kritériá. Tento stupeň neodporúčame používať pri súhrnnej klasifikácii žiaka. </w:t>
      </w:r>
    </w:p>
    <w:p>
      <w:pPr>
        <w:pStyle w:val="style4097"/>
        <w:jc w:val="both"/>
        <w:rPr>
          <w:b/>
          <w:bCs/>
        </w:rPr>
      </w:pPr>
    </w:p>
    <w:p>
      <w:pPr>
        <w:pStyle w:val="style4097"/>
        <w:jc w:val="both"/>
        <w:rPr/>
      </w:pPr>
    </w:p>
    <w:tbl>
      <w:tblPr>
        <w:tblW w:w="0" w:type="auto"/>
        <w:tblBorders>
          <w:top w:val="nil"/>
          <w:left w:val="nil"/>
          <w:bottom w:val="nil"/>
          <w:right w:val="nil"/>
        </w:tblBorders>
        <w:tblLook w:firstRow="0" w:lastRow="0" w:firstColumn="0" w:lastColumn="0" w:noHBand="0" w:noVBand="0"/>
      </w:tblPr>
      <w:tblGrid>
        <w:gridCol w:w="1894"/>
        <w:gridCol w:w="1894"/>
      </w:tblGrid>
      <w:tr>
        <w:trPr>
          <w:trHeight w:val="109" w:hRule="atLeast"/>
        </w:trPr>
        <w:tc>
          <w:tcPr>
            <w:tcW w:w="1894" w:type="dxa"/>
            <w:tcBorders/>
            <w:tcFitText w:val="false"/>
          </w:tcPr>
          <w:p>
            <w:pPr>
              <w:pStyle w:val="style4097"/>
              <w:rPr/>
            </w:pPr>
          </w:p>
        </w:tc>
        <w:tc>
          <w:tcPr>
            <w:tcW w:w="1894" w:type="dxa"/>
            <w:tcBorders/>
            <w:tcFitText w:val="false"/>
          </w:tcPr>
          <w:p>
            <w:pPr>
              <w:pStyle w:val="style4097"/>
              <w:rPr/>
            </w:pPr>
          </w:p>
        </w:tc>
      </w:tr>
      <w:tr>
        <w:tblPrEx/>
        <w:trPr>
          <w:trHeight w:val="109" w:hRule="atLeast"/>
        </w:trPr>
        <w:tc>
          <w:tcPr>
            <w:tcW w:w="1894" w:type="dxa"/>
            <w:tcBorders/>
            <w:tcFitText w:val="false"/>
          </w:tcPr>
          <w:p>
            <w:pPr>
              <w:pStyle w:val="style4097"/>
              <w:rPr/>
            </w:pPr>
          </w:p>
        </w:tc>
        <w:tc>
          <w:tcPr>
            <w:tcW w:w="1894" w:type="dxa"/>
            <w:tcBorders/>
            <w:tcFitText w:val="false"/>
          </w:tcPr>
          <w:p>
            <w:pPr>
              <w:pStyle w:val="style4097"/>
              <w:rPr/>
            </w:pPr>
          </w:p>
        </w:tc>
      </w:tr>
      <w:tr>
        <w:tblPrEx/>
        <w:trPr>
          <w:trHeight w:val="109" w:hRule="atLeast"/>
        </w:trPr>
        <w:tc>
          <w:tcPr>
            <w:tcW w:w="1894" w:type="dxa"/>
            <w:tcBorders/>
            <w:tcFitText w:val="false"/>
          </w:tcPr>
          <w:p>
            <w:pPr>
              <w:pStyle w:val="style4097"/>
              <w:rPr/>
            </w:pPr>
          </w:p>
        </w:tc>
        <w:tc>
          <w:tcPr>
            <w:tcW w:w="1894" w:type="dxa"/>
            <w:tcBorders/>
            <w:tcFitText w:val="false"/>
          </w:tcPr>
          <w:p>
            <w:pPr>
              <w:pStyle w:val="style4097"/>
              <w:rPr/>
            </w:pPr>
          </w:p>
        </w:tc>
      </w:tr>
    </w:tbl>
    <w:p>
      <w:pPr>
        <w:pStyle w:val="style4097"/>
        <w:rPr/>
      </w:pPr>
    </w:p>
    <w:sectPr>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ee"/>
    <w:family w:val="roman"/>
    <w:pitch w:val="variable"/>
    <w:sig w:usb0="E0002AFF" w:usb1="C0007841" w:usb2="00000009" w:usb3="00000000" w:csb0="000001FF" w:csb1="00000000"/>
  </w:font>
  <w:font w:name="Courier New">
    <w:altName w:val="Courier New"/>
    <w:panose1 w:val="02070309020002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ee"/>
    <w:family w:val="swiss"/>
    <w:pitch w:val="variable"/>
    <w:sig w:usb0="E00002FF" w:usb1="4000ACFF" w:usb2="00000001" w:usb3="00000000" w:csb0="0000019F" w:csb1="00000000"/>
  </w:font>
  <w:font w:name="Cambria">
    <w:altName w:val="Cambria"/>
    <w:panose1 w:val="02040503050004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0D87F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cs="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cs="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cs="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9EC6AE36"/>
    <w:lvl w:ilvl="0" w:tplc="041B0001">
      <w:start w:val="10"/>
      <w:numFmt w:val="bullet"/>
      <w:lvlText w:val="-"/>
      <w:lvlJc w:val="left"/>
      <w:pPr>
        <w:tabs>
          <w:tab w:val="left" w:leader="none" w:pos="720"/>
        </w:tabs>
        <w:ind w:left="720" w:hanging="360"/>
      </w:pPr>
      <w:rPr>
        <w:rFonts w:ascii="Calibri" w:eastAsia="Times New Roman" w:hAnsi="Calibri" w:hint="default"/>
      </w:rPr>
    </w:lvl>
    <w:lvl w:ilvl="1" w:tplc="041B0003">
      <w:start w:val="1"/>
      <w:numFmt w:val="bullet"/>
      <w:lvlText w:val="o"/>
      <w:lvlJc w:val="left"/>
      <w:pPr>
        <w:tabs>
          <w:tab w:val="left" w:leader="none" w:pos="1440"/>
        </w:tabs>
        <w:ind w:left="1440" w:hanging="360"/>
      </w:pPr>
      <w:rPr>
        <w:rFonts w:ascii="Courier New" w:hAnsi="Courier New" w:hint="default"/>
      </w:rPr>
    </w:lvl>
    <w:lvl w:ilvl="2" w:tplc="041B0005" w:tentative="1">
      <w:start w:val="1"/>
      <w:numFmt w:val="bullet"/>
      <w:lvlText w:val=""/>
      <w:lvlJc w:val="left"/>
      <w:pPr>
        <w:tabs>
          <w:tab w:val="left" w:leader="none" w:pos="2160"/>
        </w:tabs>
        <w:ind w:left="2160" w:hanging="360"/>
      </w:pPr>
      <w:rPr>
        <w:rFonts w:ascii="Wingdings" w:hAnsi="Wingdings" w:hint="default"/>
      </w:rPr>
    </w:lvl>
    <w:lvl w:ilvl="3" w:tplc="041B0001" w:tentative="1">
      <w:start w:val="1"/>
      <w:numFmt w:val="bullet"/>
      <w:lvlText w:val=""/>
      <w:lvlJc w:val="left"/>
      <w:pPr>
        <w:tabs>
          <w:tab w:val="left" w:leader="none" w:pos="2880"/>
        </w:tabs>
        <w:ind w:left="2880" w:hanging="360"/>
      </w:pPr>
      <w:rPr>
        <w:rFonts w:ascii="Symbol" w:hAnsi="Symbol" w:hint="default"/>
      </w:rPr>
    </w:lvl>
    <w:lvl w:ilvl="4" w:tplc="041B0003" w:tentative="1">
      <w:start w:val="1"/>
      <w:numFmt w:val="bullet"/>
      <w:lvlText w:val="o"/>
      <w:lvlJc w:val="left"/>
      <w:pPr>
        <w:tabs>
          <w:tab w:val="left" w:leader="none" w:pos="3600"/>
        </w:tabs>
        <w:ind w:left="3600" w:hanging="360"/>
      </w:pPr>
      <w:rPr>
        <w:rFonts w:ascii="Courier New" w:hAnsi="Courier New" w:hint="default"/>
      </w:rPr>
    </w:lvl>
    <w:lvl w:ilvl="5" w:tplc="041B0005" w:tentative="1">
      <w:start w:val="1"/>
      <w:numFmt w:val="bullet"/>
      <w:lvlText w:val=""/>
      <w:lvlJc w:val="left"/>
      <w:pPr>
        <w:tabs>
          <w:tab w:val="left" w:leader="none" w:pos="4320"/>
        </w:tabs>
        <w:ind w:left="4320" w:hanging="360"/>
      </w:pPr>
      <w:rPr>
        <w:rFonts w:ascii="Wingdings" w:hAnsi="Wingdings" w:hint="default"/>
      </w:rPr>
    </w:lvl>
    <w:lvl w:ilvl="6" w:tplc="041B0001" w:tentative="1">
      <w:start w:val="1"/>
      <w:numFmt w:val="bullet"/>
      <w:lvlText w:val=""/>
      <w:lvlJc w:val="left"/>
      <w:pPr>
        <w:tabs>
          <w:tab w:val="left" w:leader="none" w:pos="5040"/>
        </w:tabs>
        <w:ind w:left="5040" w:hanging="360"/>
      </w:pPr>
      <w:rPr>
        <w:rFonts w:ascii="Symbol" w:hAnsi="Symbol" w:hint="default"/>
      </w:rPr>
    </w:lvl>
    <w:lvl w:ilvl="7" w:tplc="041B0003" w:tentative="1">
      <w:start w:val="1"/>
      <w:numFmt w:val="bullet"/>
      <w:lvlText w:val="o"/>
      <w:lvlJc w:val="left"/>
      <w:pPr>
        <w:tabs>
          <w:tab w:val="left" w:leader="none" w:pos="5760"/>
        </w:tabs>
        <w:ind w:left="5760" w:hanging="360"/>
      </w:pPr>
      <w:rPr>
        <w:rFonts w:ascii="Courier New" w:hAnsi="Courier New" w:hint="default"/>
      </w:rPr>
    </w:lvl>
    <w:lvl w:ilvl="8" w:tplc="041B0005" w:tentative="1">
      <w:start w:val="1"/>
      <w:numFmt w:val="bullet"/>
      <w:lvlText w:val=""/>
      <w:lvlJc w:val="left"/>
      <w:pPr>
        <w:tabs>
          <w:tab w:val="left" w:leader="none" w:pos="6480"/>
        </w:tabs>
        <w:ind w:left="6480" w:hanging="360"/>
      </w:pPr>
      <w:rPr>
        <w:rFonts w:ascii="Wingdings" w:hAnsi="Wingdings" w:hint="default"/>
      </w:rPr>
    </w:lvl>
  </w:abstractNum>
  <w:abstractNum w:abstractNumId="2">
    <w:nsid w:val="00000002"/>
    <w:multiLevelType w:val="hybridMultilevel"/>
    <w:tmpl w:val="2E76E1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cs="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cs="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cs="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BFFCCC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cs="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cs="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cs="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sk-SK"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Default"/>
    <w:next w:val="style4097"/>
    <w:pPr>
      <w:autoSpaceDE w:val="false"/>
      <w:autoSpaceDN w:val="false"/>
      <w:adjustRightInd w:val="false"/>
      <w:spacing w:after="0" w:lineRule="auto" w:line="240"/>
    </w:pPr>
    <w:rPr>
      <w:rFonts w:ascii="Times New Roman" w:cs="Times New Roman" w:hAnsi="Times New Roman"/>
      <w:color w:val="000000"/>
      <w:sz w:val="24"/>
      <w:szCs w:val="24"/>
    </w:rPr>
  </w:style>
  <w:style w:type="paragraph" w:styleId="style157">
    <w:name w:val="No Spacing"/>
    <w:next w:val="style157"/>
    <w:link w:val="style4098"/>
    <w:qFormat/>
    <w:uiPriority w:val="1"/>
    <w:pPr>
      <w:spacing w:after="0" w:lineRule="auto" w:line="240"/>
    </w:pPr>
    <w:rPr/>
  </w:style>
  <w:style w:type="character" w:customStyle="1" w:styleId="style4098">
    <w:name w:val="Bez riadkovania Char"/>
    <w:basedOn w:val="style65"/>
    <w:next w:val="style4098"/>
    <w:link w:val="style157"/>
    <w:uiPriority w:val="1"/>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Words>7918</Words>
  <Characters>23662</Characters>
  <Application>Kingsoft Office Writer</Application>
  <DocSecurity>0</DocSecurity>
  <Paragraphs>654</Paragraphs>
  <ScaleCrop>false</ScaleCrop>
  <LinksUpToDate>false</LinksUpToDate>
  <CharactersWithSpaces>27309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2018-09-19T20:49:00Z</dcterms:created>
  <dc:creator>Alenka</dc:creator>
  <lastModifiedBy>Kingsoft Office</lastModifiedBy>
  <dcterms:modified xsi:type="dcterms:W3CDTF">2018-10-31T18:18:29Z</dcterms:modified>
  <revision>54</revision>
</coreProperties>
</file>