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CA" w:rsidRDefault="00CA704B" w:rsidP="00C563AC">
      <w:pPr>
        <w:pStyle w:val="Nadpis1"/>
      </w:pPr>
      <w:r>
        <w:t>NEZAMESTNANOSŤ</w:t>
      </w:r>
      <w:bookmarkStart w:id="0" w:name="_GoBack"/>
      <w:bookmarkEnd w:id="0"/>
    </w:p>
    <w:p w:rsidR="00DC4FF1" w:rsidRDefault="00DC4FF1" w:rsidP="00DC4FF1">
      <w:pPr>
        <w:pStyle w:val="Nadpis2"/>
      </w:pPr>
      <w:r>
        <w:t>Dobrovolná a nedobrovolná nezaměstnanost</w:t>
      </w:r>
    </w:p>
    <w:p w:rsidR="00722BDD" w:rsidRDefault="00D56FDF" w:rsidP="00722BDD">
      <w:pPr>
        <w:pStyle w:val="NormlnLH"/>
      </w:pPr>
      <w:r>
        <w:t>Představme si člověka</w:t>
      </w:r>
      <w:r w:rsidR="00A722A3">
        <w:t>, který dostal výpověď a je registrován na úřadu práce. Ten mu nabídne místo, ale daný člověk ho nepřijme, protože mzda, kterou mu nabídli, je pro něj nízká. Je tento člověk dobrovolně nezaměstnaný?</w:t>
      </w:r>
    </w:p>
    <w:p w:rsidR="00A722A3" w:rsidRDefault="00A722A3" w:rsidP="00722BDD">
      <w:pPr>
        <w:pStyle w:val="NormlnLH"/>
      </w:pPr>
      <w:r>
        <w:t xml:space="preserve">Podívejme se teď, jak je v ekonomii chápána dobrovolnost či nedobrovolnost nezaměstnanosti. K tomu nám poslouží obr. </w:t>
      </w:r>
      <w:r w:rsidR="00C563AC">
        <w:t>1</w:t>
      </w:r>
      <w:r>
        <w:t>.</w:t>
      </w:r>
      <w:r w:rsidR="00C563AC">
        <w:t>1</w:t>
      </w:r>
      <w:r>
        <w:t xml:space="preserve"> a </w:t>
      </w:r>
      <w:r w:rsidR="00C563AC">
        <w:t>1</w:t>
      </w:r>
      <w:r>
        <w:t>.</w:t>
      </w:r>
      <w:r w:rsidR="00C563AC">
        <w:t>2</w:t>
      </w:r>
      <w:r>
        <w:t>. Na prvním z nich je zachycena dobrovolná nezaměstnanost a na druhém nedobrovolná nezaměstnanost.</w:t>
      </w:r>
    </w:p>
    <w:p w:rsidR="00A722A3" w:rsidRDefault="00A722A3" w:rsidP="00722BDD">
      <w:pPr>
        <w:pStyle w:val="NormlnLH"/>
      </w:pPr>
      <w:r>
        <w:t>Ještě předtím je však pro zopakování vhodné zmínit pár poznámek o nabídce a poptávce po práci, které jsou zachyceny na těchto obrázcích.</w:t>
      </w:r>
    </w:p>
    <w:p w:rsidR="00A722A3" w:rsidRDefault="00A722A3" w:rsidP="006B2534">
      <w:pPr>
        <w:pStyle w:val="NormlnLH"/>
        <w:tabs>
          <w:tab w:val="left" w:pos="851"/>
        </w:tabs>
      </w:pPr>
      <w:r>
        <w:t xml:space="preserve">Předně </w:t>
      </w:r>
      <w:r>
        <w:rPr>
          <w:b/>
        </w:rPr>
        <w:t>poptávku po práci reprezentují firmy</w:t>
      </w:r>
      <w:r>
        <w:t xml:space="preserve"> a </w:t>
      </w:r>
      <w:r>
        <w:rPr>
          <w:b/>
        </w:rPr>
        <w:t>nabídku domácnosti (lidé)</w:t>
      </w:r>
      <w:r>
        <w:t>. Na obrázcích nanášíme na vertikální osu mzdou sazbu (nominální) – jako cenu práce a na horizontální osu množství práce. Poptávka po práci je klesající, neboť je zřejmé, že čím nižší mzdovou sazbu musí firmy zaplatit, tím více pracovníků zaměstnají.</w:t>
      </w:r>
      <w:r w:rsidR="006B2534">
        <w:t xml:space="preserve"> Firma bude najímat nové pracovníky, dokud se přínos dodatečného pracovníka nevyrovná nákladu na tohoto pracovníka. Naopak zaměstnanci se rozhodují mezi svým volným časem a dobou, kterou stráví v práci. Toto rozhodování je ovlivněno mzdovou sazbou. Jestliže mzdová sazba roste, nabídka práce se zvyšuje. Je nutné si uvědomit, že nabídka práce nemůže růst donekonečna.</w:t>
      </w:r>
    </w:p>
    <w:p w:rsidR="006B2534" w:rsidRDefault="006B2534" w:rsidP="006B2534">
      <w:pPr>
        <w:pStyle w:val="NormlnLH"/>
        <w:tabs>
          <w:tab w:val="left" w:pos="851"/>
        </w:tabs>
      </w:pPr>
      <w:r>
        <w:t>Při dostatečně vysoké mzdové sazbě by již byla zaměstnána veškerá pracovní síla v zemi, a proto je nabídka práce od této mzdy již zcela neelastická (vertikální).</w:t>
      </w:r>
    </w:p>
    <w:p w:rsidR="006B2534" w:rsidRDefault="006B2534" w:rsidP="00AB5F4A">
      <w:pPr>
        <w:pStyle w:val="Nadpisobrzek"/>
      </w:pPr>
      <w:r>
        <w:t xml:space="preserve">Obr. </w:t>
      </w:r>
      <w:r w:rsidR="00C563AC">
        <w:t>1</w:t>
      </w:r>
      <w:r>
        <w:t>.</w:t>
      </w:r>
      <w:r w:rsidR="00C563AC">
        <w:t>1</w:t>
      </w:r>
      <w:r w:rsidR="007A3837">
        <w:t xml:space="preserve"> Dobrovolná nezaměstnanost</w:t>
      </w:r>
      <w:r>
        <w:t>.</w:t>
      </w:r>
    </w:p>
    <w:p w:rsidR="006B2534" w:rsidRDefault="006B2534" w:rsidP="006B2534">
      <w:pPr>
        <w:pStyle w:val="NormlnLH"/>
      </w:pPr>
    </w:p>
    <w:p w:rsidR="006B2534" w:rsidRDefault="003B02CF" w:rsidP="0056375B">
      <w:pPr>
        <w:pStyle w:val="NormlnLH"/>
      </w:pPr>
      <w:r>
        <w:lastRenderedPageBreak/>
        <w:t>Původní rovnováha na obr. 7.2 je v bodě E, kde se protíná křivka poptávky po práci (D</w:t>
      </w:r>
      <w:r>
        <w:rPr>
          <w:vertAlign w:val="subscript"/>
        </w:rPr>
        <w:t>L</w:t>
      </w:r>
      <w:r>
        <w:t>) s křivkou nabídky práce (S</w:t>
      </w:r>
      <w:r>
        <w:rPr>
          <w:vertAlign w:val="subscript"/>
        </w:rPr>
        <w:t>L</w:t>
      </w:r>
      <w:r>
        <w:t>). V bodě E je při rovnovážné mzdové sazbě (W</w:t>
      </w:r>
      <w:r>
        <w:rPr>
          <w:vertAlign w:val="subscript"/>
        </w:rPr>
        <w:t>E</w:t>
      </w:r>
      <w:r>
        <w:t>) zaměstnáno rovnovážné množství práce – pracovníků (L</w:t>
      </w:r>
      <w:r>
        <w:rPr>
          <w:vertAlign w:val="subscript"/>
        </w:rPr>
        <w:t>E</w:t>
      </w:r>
      <w:r>
        <w:t>). Jestliže nyní dojde k poklesu poptávky po produkci firem, budou se nejdříve hromadit zásoby firem a nakonec budou firmy nuceny omezit svou poptávku po práci. To je na obr. 7.2 znázorněno posunem křivky poptávky po práci doleva (D</w:t>
      </w:r>
      <w:r>
        <w:rPr>
          <w:vertAlign w:val="subscript"/>
        </w:rPr>
        <w:t>L</w:t>
      </w:r>
      <w:r>
        <w:t>´). Zpočátku vzniká na trhu práce nerovnováha – nabídka práce převýší poptávku po práci – v rozsahu úsečky AE. Tato nerovnováha povede bezprostředně k poklesu mzdové sazby, neboť někteří nezaměstnaní budou ochotni pracovat za nižší mzdovou sazbu (W</w:t>
      </w:r>
      <w:r>
        <w:rPr>
          <w:vertAlign w:val="subscript"/>
        </w:rPr>
        <w:t>B</w:t>
      </w:r>
      <w:r>
        <w:t>). Nová úroveň zaměstnanosti se ustálí na úrovni L</w:t>
      </w:r>
      <w:r>
        <w:rPr>
          <w:vertAlign w:val="subscript"/>
        </w:rPr>
        <w:t>B</w:t>
      </w:r>
      <w:r>
        <w:t>. Někteří pracovníci však nejsou za nižší mzdovou sazbu ochotni pracovat. Můžeme tedy říci, že si sami vybrali být nezaměstnanými, neboli jsou dobrovolně nezaměstnanými.</w:t>
      </w:r>
    </w:p>
    <w:p w:rsidR="003B02CF" w:rsidRDefault="003B02CF" w:rsidP="00AB5F4A">
      <w:pPr>
        <w:pStyle w:val="Nadpisobrzek"/>
      </w:pPr>
      <w:r>
        <w:t xml:space="preserve">Obr. </w:t>
      </w:r>
      <w:r w:rsidR="00C563AC">
        <w:t>1</w:t>
      </w:r>
      <w:r>
        <w:t>.</w:t>
      </w:r>
      <w:r w:rsidR="00C563AC">
        <w:t>2</w:t>
      </w:r>
      <w:r w:rsidR="007A3837">
        <w:t xml:space="preserve"> Nedobrovolná nezaměstnanost</w:t>
      </w:r>
      <w:r>
        <w:t>.</w:t>
      </w:r>
    </w:p>
    <w:p w:rsidR="003B02CF" w:rsidRDefault="009B1343" w:rsidP="009B1343">
      <w:pPr>
        <w:pStyle w:val="NormlnLH"/>
      </w:pPr>
      <w:r>
        <w:rPr>
          <w:noProof/>
          <w:lang w:val="sk-SK" w:eastAsia="sk-SK"/>
        </w:rPr>
        <w:drawing>
          <wp:inline distT="0" distB="0" distL="0" distR="0">
            <wp:extent cx="4873073" cy="2733675"/>
            <wp:effectExtent l="19050" t="0" r="3727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066" t="20899" r="14050" b="4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63" cy="273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43" w:rsidRDefault="009B1343" w:rsidP="009B1343">
      <w:pPr>
        <w:pStyle w:val="NormlnLH"/>
      </w:pPr>
      <w:r>
        <w:t>Podívejme se nyní na obr. 7.3. Zde je opět počáteční rovnováha v bodě E, kde se protíná křivka poptávky po práci (D</w:t>
      </w:r>
      <w:r>
        <w:rPr>
          <w:vertAlign w:val="subscript"/>
        </w:rPr>
        <w:t>L</w:t>
      </w:r>
      <w:r>
        <w:t>) s křivkou nabídky práce (S</w:t>
      </w:r>
      <w:r>
        <w:rPr>
          <w:vertAlign w:val="subscript"/>
        </w:rPr>
        <w:t>L</w:t>
      </w:r>
      <w:r>
        <w:t>). V bodě E je při rovnovážné mzdové sazbě (W</w:t>
      </w:r>
      <w:r>
        <w:rPr>
          <w:vertAlign w:val="subscript"/>
        </w:rPr>
        <w:t>E</w:t>
      </w:r>
      <w:r>
        <w:t>) zaměstnáno rovnovážné množství práce – pracovníků (L</w:t>
      </w:r>
      <w:r>
        <w:rPr>
          <w:vertAlign w:val="subscript"/>
        </w:rPr>
        <w:t>E</w:t>
      </w:r>
      <w:r>
        <w:t>). Opět dojde k poklesu poptávky po produkci firem. V důsledku hromadění zásob firmy omezí svou poptávku po práci – posun křivky doleva (D</w:t>
      </w:r>
      <w:r>
        <w:rPr>
          <w:vertAlign w:val="subscript"/>
        </w:rPr>
        <w:t>L</w:t>
      </w:r>
      <w:r>
        <w:t>´). Na trhu práce vzniká nerovnováha – nabídka práce převýší poptávku po práci – v rozsahu úsečky AE.</w:t>
      </w:r>
    </w:p>
    <w:p w:rsidR="00DC4FF1" w:rsidRDefault="00DC4FF1" w:rsidP="00DC4FF1">
      <w:pPr>
        <w:pStyle w:val="Nadpis3"/>
      </w:pPr>
      <w:r>
        <w:t>Minimální mzda</w:t>
      </w:r>
    </w:p>
    <w:p w:rsidR="00E4649D" w:rsidRDefault="00E159A0" w:rsidP="00E4649D">
      <w:pPr>
        <w:pStyle w:val="NormlnLH"/>
      </w:pPr>
      <w:r>
        <w:t xml:space="preserve">Jako zvláštní případ vzniku nedobrovolné nezaměstnanosti je často uváděna situace, kdy dojde k uzákonění minimální mzdy. Podívejme se na obr. </w:t>
      </w:r>
      <w:r w:rsidR="003F3024">
        <w:t>1</w:t>
      </w:r>
      <w:r>
        <w:t>.4.</w:t>
      </w:r>
    </w:p>
    <w:p w:rsidR="00E159A0" w:rsidRDefault="00E159A0" w:rsidP="00AB5F4A">
      <w:pPr>
        <w:pStyle w:val="Nadpisobrzek"/>
      </w:pPr>
      <w:r>
        <w:lastRenderedPageBreak/>
        <w:t xml:space="preserve">Obr. </w:t>
      </w:r>
      <w:r w:rsidR="003F3024">
        <w:t>1</w:t>
      </w:r>
      <w:r>
        <w:t>.4 Nedobrovolná nezaměstnanost – minimální mzdová sazba.</w:t>
      </w:r>
    </w:p>
    <w:p w:rsidR="00E159A0" w:rsidRDefault="00E159A0" w:rsidP="00157B5D">
      <w:pPr>
        <w:pStyle w:val="NormlnLH"/>
      </w:pPr>
    </w:p>
    <w:p w:rsidR="00157B5D" w:rsidRDefault="00300AC6" w:rsidP="00157B5D">
      <w:pPr>
        <w:pStyle w:val="NormlnLH"/>
      </w:pPr>
      <w:r>
        <w:t>Původní rovnováha je v bodě E, kde se střetává nabídka práce (S</w:t>
      </w:r>
      <w:r>
        <w:rPr>
          <w:vertAlign w:val="subscript"/>
        </w:rPr>
        <w:t>L</w:t>
      </w:r>
      <w:r>
        <w:t>) a poptávka po práci (D</w:t>
      </w:r>
      <w:r>
        <w:rPr>
          <w:vertAlign w:val="subscript"/>
        </w:rPr>
        <w:t>L</w:t>
      </w:r>
      <w:r>
        <w:t>). Rovnovážné množství práce – pracovníků (L</w:t>
      </w:r>
      <w:r>
        <w:rPr>
          <w:vertAlign w:val="subscript"/>
        </w:rPr>
        <w:t>E</w:t>
      </w:r>
      <w:r>
        <w:t>) je zaměstnáno při rovnovážné mzdové sazbě (W</w:t>
      </w:r>
      <w:r>
        <w:rPr>
          <w:vertAlign w:val="subscript"/>
        </w:rPr>
        <w:t>E</w:t>
      </w:r>
      <w:r>
        <w:t>). Nyní dojde k uzákonění minimální mzdové sazby. Tato minimální sazba je stanovená nad úrovní rovnovážné mzdové sazby. Pokud by byla stanovena pod úrovní rovnovážné sazby, původní rovnováha by zůstala nedotčena.</w:t>
      </w:r>
    </w:p>
    <w:p w:rsidR="00300AC6" w:rsidRDefault="00300AC6" w:rsidP="00157B5D">
      <w:pPr>
        <w:pStyle w:val="NormlnLH"/>
      </w:pPr>
      <w:r>
        <w:t>Vyšší minimální mzdová sazba povede k tomu, že ze strany firem bude nižší poptávané množství práce – bod A. Naopak nabízené množství práce vzroste – bod B. V rozmezí úsečky AB tedy vzniká nedobrovolná nezaměstnanost, někteří pracovníci by při této sazby byli ochotni pracovat, ale práci neseženou.</w:t>
      </w:r>
    </w:p>
    <w:p w:rsidR="0090711E" w:rsidRDefault="00300AC6" w:rsidP="00003E1A">
      <w:pPr>
        <w:pStyle w:val="NormlnLH"/>
      </w:pPr>
      <w:r>
        <w:t>Minimální mzda může způsobovat nedobrovolnou nezaměstnanost pouze u lidí s velmi nízkými příjmy, zpravidla u málo kvalifikované práce. Význam minimální mzdy jako příčiny nezaměstnanosti je však často zpochybňován. Např. v ČR pobírá minimální mzdu pouze kolem dvou procent zaměstnanců.</w:t>
      </w:r>
      <w:r w:rsidR="00617A92">
        <w:t xml:space="preserve"> Minimální mzda byla v České republice poprvé zavedena v roce 1991.</w:t>
      </w:r>
    </w:p>
    <w:p w:rsidR="00AB5F4A" w:rsidRPr="00423046" w:rsidRDefault="00423046" w:rsidP="00423046">
      <w:r>
        <w:rPr>
          <w:noProof/>
          <w:lang w:val="sk-SK" w:eastAsia="sk-SK"/>
        </w:rPr>
        <w:drawing>
          <wp:inline distT="0" distB="0" distL="0" distR="0">
            <wp:extent cx="2228850" cy="1375199"/>
            <wp:effectExtent l="0" t="0" r="0" b="0"/>
            <wp:docPr id="3" name="Obrázek 3" descr="http://www.quote.cz/media/images_users/Makro/makro_ekono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ote.cz/media/images_users/Makro/makro_ekono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81" cy="137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F4A" w:rsidRPr="00423046" w:rsidSect="007C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A345B7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3C601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BD5FBD"/>
    <w:multiLevelType w:val="multilevel"/>
    <w:tmpl w:val="E1D2B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FF3E7F"/>
    <w:multiLevelType w:val="hybridMultilevel"/>
    <w:tmpl w:val="15EC85F6"/>
    <w:lvl w:ilvl="0" w:tplc="EDE4E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42598E"/>
    <w:multiLevelType w:val="hybridMultilevel"/>
    <w:tmpl w:val="D7AA3926"/>
    <w:lvl w:ilvl="0" w:tplc="DFC4E3BA">
      <w:start w:val="1"/>
      <w:numFmt w:val="bullet"/>
      <w:pStyle w:val="SeznamsodrkamiLH"/>
      <w:lvlText w:val=""/>
      <w:lvlJc w:val="left"/>
      <w:pPr>
        <w:ind w:left="269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5" w15:restartNumberingAfterBreak="0">
    <w:nsid w:val="657A4CBB"/>
    <w:multiLevelType w:val="multilevel"/>
    <w:tmpl w:val="F86830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EC"/>
    <w:rsid w:val="00003E1A"/>
    <w:rsid w:val="000230F9"/>
    <w:rsid w:val="00031E7F"/>
    <w:rsid w:val="00055D4F"/>
    <w:rsid w:val="000766AC"/>
    <w:rsid w:val="00076B33"/>
    <w:rsid w:val="00080AF2"/>
    <w:rsid w:val="0009774B"/>
    <w:rsid w:val="000A426F"/>
    <w:rsid w:val="000C3AD6"/>
    <w:rsid w:val="000C72A1"/>
    <w:rsid w:val="000E0490"/>
    <w:rsid w:val="000F4100"/>
    <w:rsid w:val="000F6249"/>
    <w:rsid w:val="001048E9"/>
    <w:rsid w:val="00107222"/>
    <w:rsid w:val="001107E6"/>
    <w:rsid w:val="001110F6"/>
    <w:rsid w:val="00114721"/>
    <w:rsid w:val="001248F5"/>
    <w:rsid w:val="0013743F"/>
    <w:rsid w:val="00142732"/>
    <w:rsid w:val="0014325C"/>
    <w:rsid w:val="00144453"/>
    <w:rsid w:val="001510A3"/>
    <w:rsid w:val="001573D4"/>
    <w:rsid w:val="00157B5D"/>
    <w:rsid w:val="001727D2"/>
    <w:rsid w:val="00176B87"/>
    <w:rsid w:val="0017763F"/>
    <w:rsid w:val="00187165"/>
    <w:rsid w:val="00191EEA"/>
    <w:rsid w:val="001F4AF1"/>
    <w:rsid w:val="001F4D9F"/>
    <w:rsid w:val="002000A8"/>
    <w:rsid w:val="002003B9"/>
    <w:rsid w:val="002101CE"/>
    <w:rsid w:val="00233DAD"/>
    <w:rsid w:val="00262C07"/>
    <w:rsid w:val="0027617A"/>
    <w:rsid w:val="002911C2"/>
    <w:rsid w:val="002A290C"/>
    <w:rsid w:val="002A34CA"/>
    <w:rsid w:val="002B4377"/>
    <w:rsid w:val="002C361D"/>
    <w:rsid w:val="002E37B7"/>
    <w:rsid w:val="00300AC6"/>
    <w:rsid w:val="00300E39"/>
    <w:rsid w:val="003124D6"/>
    <w:rsid w:val="0031453F"/>
    <w:rsid w:val="00330D6C"/>
    <w:rsid w:val="0035142C"/>
    <w:rsid w:val="003550DA"/>
    <w:rsid w:val="00356D73"/>
    <w:rsid w:val="00386ACE"/>
    <w:rsid w:val="00391872"/>
    <w:rsid w:val="0039341E"/>
    <w:rsid w:val="003B02CF"/>
    <w:rsid w:val="003D0610"/>
    <w:rsid w:val="003E47C6"/>
    <w:rsid w:val="003F3024"/>
    <w:rsid w:val="00423046"/>
    <w:rsid w:val="004357F6"/>
    <w:rsid w:val="00451810"/>
    <w:rsid w:val="0045255D"/>
    <w:rsid w:val="0045489F"/>
    <w:rsid w:val="004800D1"/>
    <w:rsid w:val="00481E91"/>
    <w:rsid w:val="004877F6"/>
    <w:rsid w:val="00493EBC"/>
    <w:rsid w:val="004A77CF"/>
    <w:rsid w:val="004D4968"/>
    <w:rsid w:val="004D7AB9"/>
    <w:rsid w:val="004E2AEA"/>
    <w:rsid w:val="004E599D"/>
    <w:rsid w:val="00503453"/>
    <w:rsid w:val="00540810"/>
    <w:rsid w:val="0056375B"/>
    <w:rsid w:val="00575CC2"/>
    <w:rsid w:val="0057613D"/>
    <w:rsid w:val="00582523"/>
    <w:rsid w:val="00584013"/>
    <w:rsid w:val="00594E2A"/>
    <w:rsid w:val="005977CC"/>
    <w:rsid w:val="005E31FA"/>
    <w:rsid w:val="005E3DD6"/>
    <w:rsid w:val="005E45B2"/>
    <w:rsid w:val="005E52B5"/>
    <w:rsid w:val="005F3A7F"/>
    <w:rsid w:val="005F5ED9"/>
    <w:rsid w:val="00607EDD"/>
    <w:rsid w:val="006157EC"/>
    <w:rsid w:val="00617A92"/>
    <w:rsid w:val="00677C6C"/>
    <w:rsid w:val="00684A11"/>
    <w:rsid w:val="006910DA"/>
    <w:rsid w:val="00695FEE"/>
    <w:rsid w:val="006B2534"/>
    <w:rsid w:val="006C35BE"/>
    <w:rsid w:val="006C4F13"/>
    <w:rsid w:val="0070190B"/>
    <w:rsid w:val="00707E02"/>
    <w:rsid w:val="00714D64"/>
    <w:rsid w:val="00722BDD"/>
    <w:rsid w:val="0076418F"/>
    <w:rsid w:val="00770AE9"/>
    <w:rsid w:val="00771F03"/>
    <w:rsid w:val="00772FB9"/>
    <w:rsid w:val="00791450"/>
    <w:rsid w:val="007A3837"/>
    <w:rsid w:val="007B14E3"/>
    <w:rsid w:val="007B3499"/>
    <w:rsid w:val="007C4DB4"/>
    <w:rsid w:val="007D172A"/>
    <w:rsid w:val="007D292B"/>
    <w:rsid w:val="007F3425"/>
    <w:rsid w:val="007F4A7D"/>
    <w:rsid w:val="008020D3"/>
    <w:rsid w:val="008116BD"/>
    <w:rsid w:val="00827370"/>
    <w:rsid w:val="00852270"/>
    <w:rsid w:val="0085680F"/>
    <w:rsid w:val="008670EA"/>
    <w:rsid w:val="008936C7"/>
    <w:rsid w:val="008B6AA1"/>
    <w:rsid w:val="008B7D42"/>
    <w:rsid w:val="008C1E2E"/>
    <w:rsid w:val="008C7C3D"/>
    <w:rsid w:val="008E0D8B"/>
    <w:rsid w:val="008F06A3"/>
    <w:rsid w:val="0090711E"/>
    <w:rsid w:val="00916388"/>
    <w:rsid w:val="009255B8"/>
    <w:rsid w:val="00943166"/>
    <w:rsid w:val="0097491E"/>
    <w:rsid w:val="00991985"/>
    <w:rsid w:val="009B0DBB"/>
    <w:rsid w:val="009B1343"/>
    <w:rsid w:val="009C0D9E"/>
    <w:rsid w:val="009C735A"/>
    <w:rsid w:val="009E43EC"/>
    <w:rsid w:val="009F5287"/>
    <w:rsid w:val="009F63DE"/>
    <w:rsid w:val="00A01420"/>
    <w:rsid w:val="00A11B76"/>
    <w:rsid w:val="00A32D6D"/>
    <w:rsid w:val="00A55D1F"/>
    <w:rsid w:val="00A60951"/>
    <w:rsid w:val="00A705C8"/>
    <w:rsid w:val="00A722A3"/>
    <w:rsid w:val="00A772E9"/>
    <w:rsid w:val="00A77EBE"/>
    <w:rsid w:val="00A8099A"/>
    <w:rsid w:val="00A80F86"/>
    <w:rsid w:val="00A829C0"/>
    <w:rsid w:val="00A855C3"/>
    <w:rsid w:val="00A93FF4"/>
    <w:rsid w:val="00AA3851"/>
    <w:rsid w:val="00AA3D24"/>
    <w:rsid w:val="00AA64AF"/>
    <w:rsid w:val="00AB5F4A"/>
    <w:rsid w:val="00AC180F"/>
    <w:rsid w:val="00AC46DD"/>
    <w:rsid w:val="00AD3400"/>
    <w:rsid w:val="00AD58D9"/>
    <w:rsid w:val="00AD5C9C"/>
    <w:rsid w:val="00AD60D8"/>
    <w:rsid w:val="00B0462E"/>
    <w:rsid w:val="00B0482C"/>
    <w:rsid w:val="00B07801"/>
    <w:rsid w:val="00B10675"/>
    <w:rsid w:val="00B14A95"/>
    <w:rsid w:val="00B201F6"/>
    <w:rsid w:val="00B26AD1"/>
    <w:rsid w:val="00B46F04"/>
    <w:rsid w:val="00B570F2"/>
    <w:rsid w:val="00B573AB"/>
    <w:rsid w:val="00B8466A"/>
    <w:rsid w:val="00B8791B"/>
    <w:rsid w:val="00BC7A9F"/>
    <w:rsid w:val="00BD196C"/>
    <w:rsid w:val="00BE58DD"/>
    <w:rsid w:val="00BF4E4E"/>
    <w:rsid w:val="00C23CDA"/>
    <w:rsid w:val="00C23DF0"/>
    <w:rsid w:val="00C25111"/>
    <w:rsid w:val="00C449E4"/>
    <w:rsid w:val="00C554BF"/>
    <w:rsid w:val="00C563AC"/>
    <w:rsid w:val="00C631B9"/>
    <w:rsid w:val="00C647FA"/>
    <w:rsid w:val="00C82071"/>
    <w:rsid w:val="00C90155"/>
    <w:rsid w:val="00CA704B"/>
    <w:rsid w:val="00CB32A3"/>
    <w:rsid w:val="00CC24AD"/>
    <w:rsid w:val="00CC2CB9"/>
    <w:rsid w:val="00CE15CA"/>
    <w:rsid w:val="00CF599D"/>
    <w:rsid w:val="00CF7C4D"/>
    <w:rsid w:val="00D009FC"/>
    <w:rsid w:val="00D0246B"/>
    <w:rsid w:val="00D0398C"/>
    <w:rsid w:val="00D1616B"/>
    <w:rsid w:val="00D2627E"/>
    <w:rsid w:val="00D262ED"/>
    <w:rsid w:val="00D438C9"/>
    <w:rsid w:val="00D504EE"/>
    <w:rsid w:val="00D53DFC"/>
    <w:rsid w:val="00D56FDF"/>
    <w:rsid w:val="00D671C5"/>
    <w:rsid w:val="00DB0892"/>
    <w:rsid w:val="00DB6F3E"/>
    <w:rsid w:val="00DC4FF1"/>
    <w:rsid w:val="00DC5A45"/>
    <w:rsid w:val="00DD4067"/>
    <w:rsid w:val="00DE3A38"/>
    <w:rsid w:val="00DE3D58"/>
    <w:rsid w:val="00DF3758"/>
    <w:rsid w:val="00DF7752"/>
    <w:rsid w:val="00E159A0"/>
    <w:rsid w:val="00E27CDF"/>
    <w:rsid w:val="00E31416"/>
    <w:rsid w:val="00E4649D"/>
    <w:rsid w:val="00E57FE2"/>
    <w:rsid w:val="00E6396E"/>
    <w:rsid w:val="00E67357"/>
    <w:rsid w:val="00E71FA3"/>
    <w:rsid w:val="00E73DDC"/>
    <w:rsid w:val="00E97E2D"/>
    <w:rsid w:val="00EA6244"/>
    <w:rsid w:val="00ED1E58"/>
    <w:rsid w:val="00ED5D73"/>
    <w:rsid w:val="00EF1558"/>
    <w:rsid w:val="00EF1808"/>
    <w:rsid w:val="00F02459"/>
    <w:rsid w:val="00F06BDD"/>
    <w:rsid w:val="00F07797"/>
    <w:rsid w:val="00F10D87"/>
    <w:rsid w:val="00F53645"/>
    <w:rsid w:val="00F644E6"/>
    <w:rsid w:val="00F75083"/>
    <w:rsid w:val="00F7798F"/>
    <w:rsid w:val="00FA0DC8"/>
    <w:rsid w:val="00FB0E07"/>
    <w:rsid w:val="00FC3569"/>
    <w:rsid w:val="00FD4479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BC0B"/>
  <w15:docId w15:val="{E628821C-A617-45AB-9F98-45EB0F2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5C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E15C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E15C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E15C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CE15C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CE15C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E15C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CE15CA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CE15C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CE15C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LH">
    <w:name w:val="Nadpis 1_LH"/>
    <w:basedOn w:val="Normlny"/>
    <w:next w:val="Normlny"/>
    <w:qFormat/>
    <w:rsid w:val="00C25111"/>
    <w:pPr>
      <w:keepNext/>
      <w:spacing w:before="240" w:after="60" w:line="240" w:lineRule="auto"/>
      <w:outlineLvl w:val="0"/>
    </w:pPr>
    <w:rPr>
      <w:rFonts w:ascii="Arial" w:eastAsiaTheme="minorEastAsia" w:hAnsi="Arial"/>
      <w:b/>
      <w:sz w:val="32"/>
    </w:rPr>
  </w:style>
  <w:style w:type="paragraph" w:customStyle="1" w:styleId="Nadpis2LH">
    <w:name w:val="Nadpis 2_LH"/>
    <w:basedOn w:val="Nadpis1LH"/>
    <w:next w:val="Normlny"/>
    <w:qFormat/>
    <w:rsid w:val="00C25111"/>
    <w:pPr>
      <w:outlineLvl w:val="1"/>
    </w:pPr>
    <w:rPr>
      <w:i/>
      <w:sz w:val="28"/>
    </w:rPr>
  </w:style>
  <w:style w:type="paragraph" w:customStyle="1" w:styleId="Nadpis3LH">
    <w:name w:val="Nadpis 3_LH"/>
    <w:basedOn w:val="Nadpis2LH"/>
    <w:next w:val="Normlny"/>
    <w:qFormat/>
    <w:rsid w:val="00C25111"/>
    <w:pPr>
      <w:outlineLvl w:val="2"/>
    </w:pPr>
    <w:rPr>
      <w:i w:val="0"/>
      <w:sz w:val="26"/>
    </w:rPr>
  </w:style>
  <w:style w:type="paragraph" w:customStyle="1" w:styleId="NormlnLH">
    <w:name w:val="Normální_LH"/>
    <w:basedOn w:val="Bezriadkovania"/>
    <w:qFormat/>
    <w:rsid w:val="00AB5F4A"/>
    <w:pPr>
      <w:keepLines/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ezriadkovania">
    <w:name w:val="No Spacing"/>
    <w:uiPriority w:val="1"/>
    <w:qFormat/>
    <w:rsid w:val="00176B87"/>
    <w:pPr>
      <w:spacing w:after="0" w:line="240" w:lineRule="auto"/>
    </w:pPr>
  </w:style>
  <w:style w:type="paragraph" w:customStyle="1" w:styleId="SeznamsodrkamiLH">
    <w:name w:val="Seznam s odrážkami_LH"/>
    <w:basedOn w:val="Zoznamsodrkami"/>
    <w:autoRedefine/>
    <w:qFormat/>
    <w:rsid w:val="00D0246B"/>
    <w:pPr>
      <w:numPr>
        <w:numId w:val="7"/>
      </w:numPr>
      <w:spacing w:line="360" w:lineRule="auto"/>
      <w:ind w:left="709"/>
      <w:contextualSpacing w:val="0"/>
    </w:pPr>
    <w:rPr>
      <w:b/>
    </w:rPr>
  </w:style>
  <w:style w:type="paragraph" w:styleId="Zoznamsodrkami2">
    <w:name w:val="List Bullet 2"/>
    <w:basedOn w:val="Normlny"/>
    <w:uiPriority w:val="99"/>
    <w:semiHidden/>
    <w:unhideWhenUsed/>
    <w:rsid w:val="00176B87"/>
    <w:pPr>
      <w:numPr>
        <w:numId w:val="1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176B87"/>
    <w:pPr>
      <w:numPr>
        <w:numId w:val="3"/>
      </w:numPr>
      <w:contextualSpacing/>
    </w:pPr>
  </w:style>
  <w:style w:type="character" w:customStyle="1" w:styleId="Nadpis1Char">
    <w:name w:val="Nadpis 1 Char"/>
    <w:basedOn w:val="Predvolenpsmoodseku"/>
    <w:link w:val="Nadpis1"/>
    <w:rsid w:val="00CE15C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CE15C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CE15C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CE15C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CE15C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CE15C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CE15C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CE15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CE15CA"/>
    <w:rPr>
      <w:rFonts w:ascii="Arial" w:eastAsia="Times New Roman" w:hAnsi="Arial" w:cs="Arial"/>
      <w:lang w:eastAsia="cs-CZ"/>
    </w:rPr>
  </w:style>
  <w:style w:type="paragraph" w:customStyle="1" w:styleId="StylPrvndek125cmZa12bdkovn15dku1">
    <w:name w:val="Styl První řádek:  125 cm Za:  12 b. Řádkování:  15 řádku1"/>
    <w:basedOn w:val="Normlny"/>
    <w:rsid w:val="00CE15CA"/>
    <w:pPr>
      <w:keepLines/>
      <w:spacing w:after="240" w:line="360" w:lineRule="auto"/>
      <w:ind w:firstLine="709"/>
    </w:pPr>
    <w:rPr>
      <w:szCs w:val="20"/>
    </w:rPr>
  </w:style>
  <w:style w:type="paragraph" w:styleId="Odsekzoznamu">
    <w:name w:val="List Paragraph"/>
    <w:basedOn w:val="Normlny"/>
    <w:uiPriority w:val="34"/>
    <w:qFormat/>
    <w:rsid w:val="00E73DD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5227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27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obrzek">
    <w:name w:val="Nadpis obrázek"/>
    <w:basedOn w:val="NormlnLH"/>
    <w:qFormat/>
    <w:rsid w:val="00AB5F4A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7C8E-7F1C-4490-AFF8-5B27FD3F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Hons</dc:creator>
  <cp:keywords/>
  <dc:description/>
  <cp:lastModifiedBy>LEGO-11</cp:lastModifiedBy>
  <cp:revision>14</cp:revision>
  <dcterms:created xsi:type="dcterms:W3CDTF">2014-08-05T20:23:00Z</dcterms:created>
  <dcterms:modified xsi:type="dcterms:W3CDTF">2019-04-10T14:53:00Z</dcterms:modified>
</cp:coreProperties>
</file>