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A1" w:rsidRDefault="005A64A1" w:rsidP="005A64A1">
      <w:pPr>
        <w:pStyle w:val="tytu01"/>
        <w:ind w:left="360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 xml:space="preserve">Wymagania edukacyjne  z fizyki Kl.7 </w:t>
      </w:r>
    </w:p>
    <w:p w:rsidR="005A64A1" w:rsidRPr="005A64A1" w:rsidRDefault="005A64A1" w:rsidP="005A64A1">
      <w:pPr>
        <w:spacing w:line="276" w:lineRule="auto"/>
        <w:ind w:left="360"/>
        <w:rPr>
          <w:szCs w:val="20"/>
        </w:rPr>
      </w:pPr>
      <w:r w:rsidRPr="005A64A1">
        <w:rPr>
          <w:szCs w:val="20"/>
        </w:rPr>
        <w:t xml:space="preserve">Wyszczególnienie materiału dotyczącego wiedzy i umiejętności ucznia z poszczególnych działów Fizyki w zakresie </w:t>
      </w:r>
      <w:r>
        <w:rPr>
          <w:szCs w:val="20"/>
        </w:rPr>
        <w:t xml:space="preserve">koniecznym, </w:t>
      </w:r>
      <w:r w:rsidRPr="005A64A1">
        <w:rPr>
          <w:b/>
          <w:szCs w:val="20"/>
        </w:rPr>
        <w:t>podstawowym, rozszerzającym i dopełniającym</w:t>
      </w:r>
      <w:r w:rsidRPr="005A64A1">
        <w:rPr>
          <w:szCs w:val="20"/>
        </w:rPr>
        <w:t xml:space="preserve"> zawartych jest w tabeli dotyczącej realizowanego programu „Świat fizyki”. Wymagania na poszczególne oceny opracowano na końcu dokumentu.</w:t>
      </w:r>
    </w:p>
    <w:p w:rsidR="005A64A1" w:rsidRPr="005A64A1" w:rsidRDefault="005A64A1" w:rsidP="005A64A1">
      <w:pPr>
        <w:pStyle w:val="Akapitzlist"/>
        <w:spacing w:line="276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</w:t>
      </w:r>
      <w:r w:rsidRPr="005A64A1">
        <w:rPr>
          <w:szCs w:val="20"/>
        </w:rPr>
        <w:t>Opracowanie nauczyciel fizyki mgr  Bożena Bierowiec-Chrustek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9" o:title=""/>
                </v:shape>
                <o:OLEObject Type="Embed" ProgID="Equation.3" ShapeID="_x0000_i1025" DrawAspect="Content" ObjectID="_1599711189" r:id="rId10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1" o:title=""/>
                </v:shape>
                <o:OLEObject Type="Embed" ProgID="Equation.DSMT4" ShapeID="_x0000_i1026" DrawAspect="Content" ObjectID="_1599711190" r:id="rId12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1" o:title=""/>
                </v:shape>
                <o:OLEObject Type="Embed" ProgID="Equation.DSMT4" ShapeID="_x0000_i1027" DrawAspect="Content" ObjectID="_1599711191" r:id="rId1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8" type="#_x0000_t75" style="width:27.2pt;height:23.7pt" o:ole="">
                  <v:imagedata r:id="rId14" o:title=""/>
                </v:shape>
                <o:OLEObject Type="Embed" ProgID="Equation.DSMT4" ShapeID="_x0000_i1028" DrawAspect="Content" ObjectID="_1599711192" r:id="rId15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9" type="#_x0000_t75" style="width:27.2pt;height:23.7pt" o:ole="">
                  <v:imagedata r:id="rId16" o:title=""/>
                </v:shape>
                <o:OLEObject Type="Embed" ProgID="Equation.DSMT4" ShapeID="_x0000_i1029" DrawAspect="Content" ObjectID="_1599711193" r:id="rId17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lastRenderedPageBreak/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8" o:title=""/>
                </v:shape>
                <o:OLEObject Type="Embed" ProgID="Equation.DSMT4" ShapeID="_x0000_i1030" DrawAspect="Content" ObjectID="_1599711194" r:id="rId1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20" o:title=""/>
                </v:shape>
                <o:OLEObject Type="Embed" ProgID="Equation.DSMT4" ShapeID="_x0000_i1031" DrawAspect="Content" ObjectID="_1599711195" r:id="rId21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20" o:title=""/>
                </v:shape>
                <o:OLEObject Type="Embed" ProgID="Equation.DSMT4" ShapeID="_x0000_i1032" DrawAspect="Content" ObjectID="_1599711196" r:id="rId2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podaje temperatury krzepnięcia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 xml:space="preserve">wyjaśnia przyczyny skraplania pary wodnej zawartej w powietrzu, np. na </w:t>
            </w:r>
            <w:r w:rsidRPr="00B340A0">
              <w:rPr>
                <w:rFonts w:asciiTheme="minorHAnsi" w:hAnsiTheme="minorHAnsi"/>
                <w:spacing w:val="-4"/>
                <w:szCs w:val="18"/>
              </w:rPr>
              <w:lastRenderedPageBreak/>
              <w:t>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3" o:title=""/>
                </v:shape>
                <o:OLEObject Type="Embed" ProgID="Equation.3" ShapeID="_x0000_i1033" DrawAspect="Content" ObjectID="_1599711197" r:id="rId24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5" o:title=""/>
                </v:shape>
                <o:OLEObject Type="Embed" ProgID="Equation.3" ShapeID="_x0000_i1034" DrawAspect="Content" ObjectID="_1599711198" r:id="rId26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7" o:title=""/>
                </v:shape>
                <o:OLEObject Type="Embed" ProgID="Equation.3" ShapeID="_x0000_i1035" DrawAspect="Content" ObjectID="_1599711199" r:id="rId2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9" o:title=""/>
                </v:shape>
                <o:OLEObject Type="Embed" ProgID="Equation.3" ShapeID="_x0000_i1036" DrawAspect="Content" ObjectID="_1599711200" r:id="rId30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lastRenderedPageBreak/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1" o:title=""/>
                </v:shape>
                <o:OLEObject Type="Embed" ProgID="Equation.DSMT4" ShapeID="_x0000_i1037" DrawAspect="Content" ObjectID="_1599711201" r:id="rId32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3" o:title=""/>
                </v:shape>
                <o:OLEObject Type="Embed" ProgID="Equation.DSMT4" ShapeID="_x0000_i1038" DrawAspect="Content" ObjectID="_1599711202" r:id="rId34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1" o:title=""/>
                </v:shape>
                <o:OLEObject Type="Embed" ProgID="Equation.DSMT4" ShapeID="_x0000_i1039" DrawAspect="Content" ObjectID="_1599711203" r:id="rId35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lastRenderedPageBreak/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6" o:title=""/>
                </v:shape>
                <o:OLEObject Type="Embed" ProgID="Equation.DSMT4" ShapeID="_x0000_i1040" DrawAspect="Content" ObjectID="_1599711204" r:id="rId3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kilku sił działających na ciało wzdłuż jednej prostej, które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8" o:title=""/>
                </v:shape>
                <o:OLEObject Type="Embed" ProgID="Equation.DSMT4" ShapeID="_x0000_i1041" DrawAspect="Content" ObjectID="_1599711205" r:id="rId39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40" o:title=""/>
                </v:shape>
                <o:OLEObject Type="Embed" ProgID="Equation.3" ShapeID="_x0000_i1042" DrawAspect="Content" ObjectID="_1599711206" r:id="rId41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8" o:title=""/>
                </v:shape>
                <o:OLEObject Type="Embed" ProgID="Equation.DSMT4" ShapeID="_x0000_i1043" DrawAspect="Content" ObjectID="_1599711207" r:id="rId42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3" o:title=""/>
                </v:shape>
                <o:OLEObject Type="Embed" ProgID="Equation.DSMT4" ShapeID="_x0000_i1044" DrawAspect="Content" ObjectID="_1599711208" r:id="rId44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5" o:title=""/>
                </v:shape>
                <o:OLEObject Type="Embed" ProgID="Equation.DSMT4" ShapeID="_x0000_i1045" DrawAspect="Content" ObjectID="_1599711209" r:id="rId46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3" o:title=""/>
                </v:shape>
                <o:OLEObject Type="Embed" ProgID="Equation.DSMT4" ShapeID="_x0000_i1046" DrawAspect="Content" ObjectID="_1599711210" r:id="rId4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5" o:title=""/>
                </v:shape>
                <o:OLEObject Type="Embed" ProgID="Equation.DSMT4" ShapeID="_x0000_i1047" DrawAspect="Content" ObjectID="_1599711211" r:id="rId48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3" o:title=""/>
                </v:shape>
                <o:OLEObject Type="Embed" ProgID="Equation.DSMT4" ShapeID="_x0000_i1048" DrawAspect="Content" ObjectID="_1599711212" r:id="rId49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50" o:title=""/>
                </v:shape>
                <o:OLEObject Type="Embed" ProgID="Equation.DSMT4" ShapeID="_x0000_i1049" DrawAspect="Content" ObjectID="_1599711213" r:id="rId5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2" o:title=""/>
                </v:shape>
                <o:OLEObject Type="Embed" ProgID="Equation.DSMT4" ShapeID="_x0000_i1050" DrawAspect="Content" ObjectID="_1599711214" r:id="rId53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4" o:title=""/>
                </v:shape>
                <o:OLEObject Type="Embed" ProgID="Equation.DSMT4" ShapeID="_x0000_i1051" DrawAspect="Content" ObjectID="_1599711215" r:id="rId55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6" o:title=""/>
                </v:shape>
                <o:OLEObject Type="Embed" ProgID="Equation.3" ShapeID="_x0000_i1052" DrawAspect="Content" ObjectID="_1599711216" r:id="rId5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8" o:title=""/>
                </v:shape>
                <o:OLEObject Type="Embed" ProgID="Equation.DSMT4" ShapeID="_x0000_i1053" DrawAspect="Content" ObjectID="_1599711217" r:id="rId59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5A64A1" w:rsidRPr="005A64A1" w:rsidRDefault="005A64A1" w:rsidP="005A64A1">
      <w:pPr>
        <w:ind w:firstLine="284"/>
        <w:jc w:val="both"/>
        <w:rPr>
          <w:sz w:val="22"/>
        </w:rPr>
      </w:pPr>
      <w:r w:rsidRPr="005A64A1">
        <w:rPr>
          <w:sz w:val="22"/>
        </w:rPr>
        <w:t>W odpowiednich miejscach w nawiasach podano numery doświadczeń obowiązkowych zgodnie z podstawą programową.</w:t>
      </w:r>
    </w:p>
    <w:p w:rsidR="005A64A1" w:rsidRPr="005A64A1" w:rsidRDefault="005A64A1" w:rsidP="005A64A1">
      <w:pPr>
        <w:ind w:firstLine="284"/>
        <w:jc w:val="both"/>
        <w:rPr>
          <w:sz w:val="22"/>
        </w:rPr>
      </w:pPr>
      <w:r w:rsidRPr="005A64A1">
        <w:rPr>
          <w:sz w:val="22"/>
        </w:rPr>
        <w:t>Umiejętności wymienione w wymaganiach przekrojowych nauczyciel kształtuje na każdej lekcji i przy każdej sprzyjającej okazji.</w:t>
      </w:r>
    </w:p>
    <w:p w:rsidR="005A64A1" w:rsidRPr="005A64A1" w:rsidRDefault="005A64A1" w:rsidP="005A64A1">
      <w:pPr>
        <w:ind w:firstLine="284"/>
        <w:jc w:val="both"/>
        <w:rPr>
          <w:sz w:val="22"/>
        </w:rPr>
      </w:pPr>
    </w:p>
    <w:p w:rsidR="005A64A1" w:rsidRPr="005A64A1" w:rsidRDefault="005A64A1" w:rsidP="005A64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b/>
          <w:bCs/>
          <w:sz w:val="22"/>
        </w:rPr>
        <w:t xml:space="preserve">Stopień celujący </w:t>
      </w:r>
      <w:bookmarkStart w:id="1" w:name="OLE_LINK17"/>
      <w:bookmarkStart w:id="2" w:name="OLE_LINK18"/>
      <w:r w:rsidRPr="005A64A1">
        <w:rPr>
          <w:b/>
          <w:bCs/>
          <w:sz w:val="22"/>
        </w:rPr>
        <w:t xml:space="preserve">z fizyki </w:t>
      </w:r>
      <w:r w:rsidRPr="005A64A1">
        <w:rPr>
          <w:bCs/>
          <w:sz w:val="22"/>
        </w:rPr>
        <w:t>ustala się uczniowi</w:t>
      </w:r>
      <w:bookmarkEnd w:id="1"/>
      <w:bookmarkEnd w:id="2"/>
      <w:r w:rsidRPr="005A64A1">
        <w:rPr>
          <w:sz w:val="22"/>
        </w:rPr>
        <w:t>, który:</w:t>
      </w:r>
    </w:p>
    <w:p w:rsidR="005A64A1" w:rsidRPr="005A64A1" w:rsidRDefault="005A64A1" w:rsidP="005A64A1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2"/>
        </w:rPr>
      </w:pPr>
      <w:r w:rsidRPr="005A64A1">
        <w:rPr>
          <w:sz w:val="22"/>
        </w:rPr>
        <w:t xml:space="preserve">jest laureatem albo finalistą olimpiady przedmiotowej. Uczeń, który tytuł laureata lub finalisty olimpiady uzyskał po ustaleniu rocznej  oceny klasyfikacyjnej z zajęć edukacyjnych, otrzymuje z tych zajęć edukacyjnych celującą końcową ocenę klasyfikacyjną. </w:t>
      </w:r>
    </w:p>
    <w:p w:rsidR="005A64A1" w:rsidRPr="005A64A1" w:rsidRDefault="005A64A1" w:rsidP="005A64A1">
      <w:pPr>
        <w:widowControl w:val="0"/>
        <w:autoSpaceDE w:val="0"/>
        <w:autoSpaceDN w:val="0"/>
        <w:adjustRightInd w:val="0"/>
        <w:spacing w:line="276" w:lineRule="auto"/>
        <w:ind w:left="1066" w:firstLine="284"/>
        <w:jc w:val="both"/>
        <w:rPr>
          <w:b/>
          <w:sz w:val="22"/>
        </w:rPr>
      </w:pPr>
      <w:r w:rsidRPr="005A64A1">
        <w:rPr>
          <w:b/>
          <w:sz w:val="22"/>
        </w:rPr>
        <w:t>lub:</w:t>
      </w:r>
    </w:p>
    <w:p w:rsidR="005A64A1" w:rsidRPr="005A64A1" w:rsidRDefault="005A64A1" w:rsidP="005A64A1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2"/>
        </w:rPr>
      </w:pPr>
      <w:r w:rsidRPr="005A64A1">
        <w:rPr>
          <w:sz w:val="22"/>
        </w:rPr>
        <w:t>spełnia poniższe warunki:</w:t>
      </w:r>
    </w:p>
    <w:p w:rsidR="005A64A1" w:rsidRPr="005A64A1" w:rsidRDefault="005A64A1" w:rsidP="005A64A1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</w:rPr>
      </w:pPr>
      <w:r w:rsidRPr="005A64A1">
        <w:rPr>
          <w:sz w:val="22"/>
        </w:rPr>
        <w:t>a) samodzielnie zdobywa wiadomości, jest samodzielny w rozwiązywaniu zadań i problemów,</w:t>
      </w:r>
    </w:p>
    <w:p w:rsidR="005A64A1" w:rsidRPr="005A64A1" w:rsidRDefault="005A64A1" w:rsidP="005A64A1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</w:rPr>
      </w:pPr>
      <w:r w:rsidRPr="005A64A1">
        <w:rPr>
          <w:sz w:val="22"/>
        </w:rPr>
        <w:t xml:space="preserve">b) proponuje rozwiązania nietypowe, </w:t>
      </w:r>
    </w:p>
    <w:p w:rsidR="005A64A1" w:rsidRPr="005A64A1" w:rsidRDefault="005A64A1" w:rsidP="005A64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c) opanował w pełnym zakresie wiadomości i </w:t>
      </w:r>
      <w:r w:rsidRPr="005A64A1">
        <w:rPr>
          <w:b/>
          <w:sz w:val="22"/>
        </w:rPr>
        <w:t>umiejętności dopełniające</w:t>
      </w:r>
      <w:r w:rsidRPr="005A64A1">
        <w:rPr>
          <w:sz w:val="22"/>
        </w:rPr>
        <w:t xml:space="preserve"> określone w podstawie programowej i realizowanym programie</w:t>
      </w:r>
    </w:p>
    <w:p w:rsidR="005A64A1" w:rsidRPr="005A64A1" w:rsidRDefault="005A64A1" w:rsidP="005A64A1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</w:rPr>
      </w:pPr>
      <w:r w:rsidRPr="005A64A1">
        <w:rPr>
          <w:b/>
          <w:bCs/>
          <w:sz w:val="22"/>
        </w:rPr>
        <w:t xml:space="preserve">Stopień bardzo dobry </w:t>
      </w:r>
      <w:r w:rsidRPr="005A64A1">
        <w:rPr>
          <w:bCs/>
          <w:sz w:val="22"/>
        </w:rPr>
        <w:t>ustala się uczniowi</w:t>
      </w:r>
      <w:r w:rsidRPr="005A64A1">
        <w:rPr>
          <w:sz w:val="22"/>
        </w:rPr>
        <w:t>, który:</w:t>
      </w:r>
    </w:p>
    <w:p w:rsidR="005A64A1" w:rsidRPr="005A64A1" w:rsidRDefault="005A64A1" w:rsidP="005A64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spełnia wymagania  edukacyjne niezbędne do uzyskania oceny bardzo dobrej z danych zajęć edukacyjnych, </w:t>
      </w:r>
    </w:p>
    <w:p w:rsidR="005A64A1" w:rsidRPr="005A64A1" w:rsidRDefault="005A64A1" w:rsidP="005A64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opanował w pełnym zakresie wiadomości i </w:t>
      </w:r>
      <w:r w:rsidRPr="005A64A1">
        <w:rPr>
          <w:b/>
          <w:sz w:val="22"/>
        </w:rPr>
        <w:t>umiejętności dopełniające</w:t>
      </w:r>
      <w:r w:rsidRPr="005A64A1">
        <w:rPr>
          <w:sz w:val="22"/>
        </w:rPr>
        <w:t xml:space="preserve"> określone w podstawie programowej i realizowanym programie</w:t>
      </w:r>
    </w:p>
    <w:p w:rsidR="005A64A1" w:rsidRPr="005A64A1" w:rsidRDefault="005A64A1" w:rsidP="005A64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samodzielnie rozwiązuje problemy i zadania postawione przez nauczyciela, posługując się nabytymi umiejętnościami,</w:t>
      </w:r>
    </w:p>
    <w:p w:rsidR="005A64A1" w:rsidRPr="005A64A1" w:rsidRDefault="005A64A1" w:rsidP="005A64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bierze udział w olimpiadach i konkursach przedmiotowych,</w:t>
      </w:r>
    </w:p>
    <w:p w:rsidR="005A64A1" w:rsidRPr="005A64A1" w:rsidRDefault="005A64A1" w:rsidP="005A64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sprawnie korzysta z wiedzy i umiejętności w sytuacjach problemowych,</w:t>
      </w:r>
    </w:p>
    <w:p w:rsidR="005A64A1" w:rsidRPr="005A64A1" w:rsidRDefault="005A64A1" w:rsidP="005A64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lastRenderedPageBreak/>
        <w:t>wykazuje się dużą aktywnością w czasie lekcji.</w:t>
      </w:r>
    </w:p>
    <w:p w:rsidR="005A64A1" w:rsidRPr="005A64A1" w:rsidRDefault="005A64A1" w:rsidP="005A64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b/>
          <w:bCs/>
          <w:sz w:val="22"/>
        </w:rPr>
        <w:t xml:space="preserve">Stopień dobry </w:t>
      </w:r>
      <w:r w:rsidRPr="005A64A1">
        <w:rPr>
          <w:bCs/>
          <w:sz w:val="22"/>
        </w:rPr>
        <w:t>ustala się uczniowi</w:t>
      </w:r>
      <w:r w:rsidRPr="005A64A1">
        <w:rPr>
          <w:sz w:val="22"/>
        </w:rPr>
        <w:t>, który:</w:t>
      </w:r>
    </w:p>
    <w:p w:rsidR="005A64A1" w:rsidRPr="005A64A1" w:rsidRDefault="005A64A1" w:rsidP="005A64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spełnia   wymagania  edukacyjne niezbędne do uzyskania oceny dobrej z danych zajęć edukacyjnych,</w:t>
      </w:r>
    </w:p>
    <w:p w:rsidR="005A64A1" w:rsidRPr="005A64A1" w:rsidRDefault="005A64A1" w:rsidP="005A64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opanował w dużym zakresie wiadomości i umiejętności w </w:t>
      </w:r>
      <w:r w:rsidRPr="005A64A1">
        <w:rPr>
          <w:b/>
          <w:sz w:val="22"/>
        </w:rPr>
        <w:t>zakresie rozszerzonym</w:t>
      </w:r>
      <w:r w:rsidRPr="005A64A1">
        <w:rPr>
          <w:sz w:val="22"/>
        </w:rPr>
        <w:t xml:space="preserve"> wymagań edukacyjnych</w:t>
      </w:r>
    </w:p>
    <w:p w:rsidR="005A64A1" w:rsidRPr="005A64A1" w:rsidRDefault="005A64A1" w:rsidP="005A64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zna najważniejsze pojęcia, posiada wiadomości i podstawowe umiejętności,</w:t>
      </w:r>
    </w:p>
    <w:p w:rsidR="005A64A1" w:rsidRPr="005A64A1" w:rsidRDefault="005A64A1" w:rsidP="005A64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samodzielnie rozwiązuje typowe zadania, natomiast zadania o stopniu trudniejszym wykonuje pod kierunkiem nauczyciela,</w:t>
      </w:r>
    </w:p>
    <w:p w:rsidR="005A64A1" w:rsidRPr="005A64A1" w:rsidRDefault="005A64A1" w:rsidP="005A64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jest aktywny w czasie lekcji.</w:t>
      </w:r>
    </w:p>
    <w:p w:rsidR="005A64A1" w:rsidRPr="005A64A1" w:rsidRDefault="005A64A1" w:rsidP="005A64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b/>
          <w:bCs/>
          <w:sz w:val="22"/>
        </w:rPr>
        <w:t xml:space="preserve">Stopień dostateczny </w:t>
      </w:r>
      <w:r w:rsidRPr="005A64A1">
        <w:rPr>
          <w:bCs/>
          <w:sz w:val="22"/>
        </w:rPr>
        <w:t>ustala się uczniowi</w:t>
      </w:r>
      <w:r w:rsidRPr="005A64A1">
        <w:rPr>
          <w:sz w:val="22"/>
        </w:rPr>
        <w:t>, który:</w:t>
      </w:r>
    </w:p>
    <w:p w:rsidR="005A64A1" w:rsidRPr="005A64A1" w:rsidRDefault="005A64A1" w:rsidP="005A64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spełnia   wymagania edukacyjne niezbędne do uzyskania oceny dostatecznej z danych zajęć edukacyjnych, </w:t>
      </w:r>
    </w:p>
    <w:p w:rsidR="005A64A1" w:rsidRPr="005A64A1" w:rsidRDefault="005A64A1" w:rsidP="005A64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opanował  </w:t>
      </w:r>
      <w:r w:rsidRPr="005A64A1">
        <w:rPr>
          <w:b/>
          <w:sz w:val="22"/>
        </w:rPr>
        <w:t>podstawowe wiadomości i umiejętności</w:t>
      </w:r>
      <w:r w:rsidRPr="005A64A1">
        <w:rPr>
          <w:sz w:val="22"/>
        </w:rPr>
        <w:t xml:space="preserve"> określone  podstawą programową w stosunku do wymagań podstawowych, które są konieczne do dalszego kształcenia</w:t>
      </w:r>
    </w:p>
    <w:p w:rsidR="005A64A1" w:rsidRPr="005A64A1" w:rsidRDefault="005A64A1" w:rsidP="005A64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rozwiązuje (wykonuje) typowe zadania teoretyczne lub praktyczne o średnim stopniu trudności, </w:t>
      </w:r>
    </w:p>
    <w:p w:rsidR="005A64A1" w:rsidRPr="005A64A1" w:rsidRDefault="005A64A1" w:rsidP="005A64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>wykazuje się aktywnością na lekcjach w stopniu zadowalającym.</w:t>
      </w:r>
    </w:p>
    <w:p w:rsidR="005A64A1" w:rsidRPr="005A64A1" w:rsidRDefault="005A64A1" w:rsidP="005A64A1">
      <w:pPr>
        <w:widowControl w:val="0"/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b/>
          <w:sz w:val="22"/>
        </w:rPr>
        <w:t xml:space="preserve"> S</w:t>
      </w:r>
      <w:r w:rsidRPr="005A64A1">
        <w:rPr>
          <w:b/>
          <w:bCs/>
          <w:sz w:val="22"/>
        </w:rPr>
        <w:t xml:space="preserve">topień dopuszczający </w:t>
      </w:r>
      <w:r w:rsidRPr="005A64A1">
        <w:rPr>
          <w:bCs/>
          <w:sz w:val="22"/>
        </w:rPr>
        <w:t>ustala się uczniowi</w:t>
      </w:r>
      <w:r w:rsidRPr="005A64A1">
        <w:rPr>
          <w:sz w:val="22"/>
        </w:rPr>
        <w:t>, który:</w:t>
      </w:r>
    </w:p>
    <w:p w:rsidR="005A64A1" w:rsidRPr="005A64A1" w:rsidRDefault="005A64A1" w:rsidP="005A64A1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ab/>
        <w:t>spełnia wymagania edukacyjne niezbędne do uzyskania oceny dopuszczającej z danych zajęć edukacyjnych,</w:t>
      </w:r>
    </w:p>
    <w:p w:rsidR="005A64A1" w:rsidRPr="005A64A1" w:rsidRDefault="005A64A1" w:rsidP="005A64A1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opanował </w:t>
      </w:r>
      <w:r w:rsidRPr="005A64A1">
        <w:rPr>
          <w:b/>
          <w:sz w:val="22"/>
        </w:rPr>
        <w:t>wymagania edukacyjne podstawowe</w:t>
      </w:r>
    </w:p>
    <w:p w:rsidR="005A64A1" w:rsidRPr="005A64A1" w:rsidRDefault="005A64A1" w:rsidP="005A64A1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ab/>
        <w:t>ma poważne braki w wiedzy, które można  uzupełnić,</w:t>
      </w:r>
    </w:p>
    <w:p w:rsidR="005A64A1" w:rsidRPr="005A64A1" w:rsidRDefault="005A64A1" w:rsidP="005A64A1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 braki te nie przekreślają możliwości dalszej nauki,</w:t>
      </w:r>
    </w:p>
    <w:p w:rsidR="005A64A1" w:rsidRPr="005A64A1" w:rsidRDefault="005A64A1" w:rsidP="005A64A1">
      <w:pPr>
        <w:widowControl w:val="0"/>
        <w:numPr>
          <w:ilvl w:val="0"/>
          <w:numId w:val="14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ab/>
        <w:t>przy pomocy nauczyciela potrafi wykonywać proste zadania, wymagające zastosowania podstawowych umiejętności.</w:t>
      </w:r>
    </w:p>
    <w:p w:rsidR="005A64A1" w:rsidRPr="005A64A1" w:rsidRDefault="005A64A1" w:rsidP="005A64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b/>
          <w:bCs/>
          <w:sz w:val="22"/>
        </w:rPr>
        <w:t xml:space="preserve">Stopień niedostateczny </w:t>
      </w:r>
      <w:r w:rsidRPr="005A64A1">
        <w:rPr>
          <w:bCs/>
          <w:sz w:val="22"/>
        </w:rPr>
        <w:t>ustala się uczniowi</w:t>
      </w:r>
      <w:r w:rsidRPr="005A64A1">
        <w:rPr>
          <w:sz w:val="22"/>
        </w:rPr>
        <w:t>, który:</w:t>
      </w:r>
    </w:p>
    <w:p w:rsidR="005A64A1" w:rsidRPr="005A64A1" w:rsidRDefault="005A64A1" w:rsidP="005A64A1">
      <w:pPr>
        <w:widowControl w:val="0"/>
        <w:numPr>
          <w:ilvl w:val="0"/>
          <w:numId w:val="15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ab/>
        <w:t>nie opanował wiadomości i umiejętności w stosunku do wymagań edukacyjnych podstawowych wynikających z podstawy programowej</w:t>
      </w:r>
    </w:p>
    <w:p w:rsidR="005A64A1" w:rsidRPr="005A64A1" w:rsidRDefault="005A64A1" w:rsidP="005A64A1">
      <w:pPr>
        <w:widowControl w:val="0"/>
        <w:numPr>
          <w:ilvl w:val="0"/>
          <w:numId w:val="15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 xml:space="preserve"> nie spełnia wymagań edukacyjnych niezbędnych do uzyskania oceny dopuszczającej</w:t>
      </w:r>
    </w:p>
    <w:p w:rsidR="005A64A1" w:rsidRPr="005A64A1" w:rsidRDefault="005A64A1" w:rsidP="005A64A1">
      <w:pPr>
        <w:widowControl w:val="0"/>
        <w:tabs>
          <w:tab w:val="left" w:pos="927"/>
        </w:tabs>
        <w:autoSpaceDE w:val="0"/>
        <w:autoSpaceDN w:val="0"/>
        <w:adjustRightInd w:val="0"/>
        <w:spacing w:line="276" w:lineRule="auto"/>
        <w:ind w:left="1066" w:firstLine="284"/>
        <w:jc w:val="both"/>
        <w:rPr>
          <w:sz w:val="22"/>
        </w:rPr>
      </w:pPr>
      <w:r w:rsidRPr="005A64A1">
        <w:rPr>
          <w:sz w:val="22"/>
        </w:rPr>
        <w:t xml:space="preserve"> z danych zajęć edukacyjnych ,</w:t>
      </w:r>
    </w:p>
    <w:p w:rsidR="005A64A1" w:rsidRPr="005A64A1" w:rsidRDefault="005A64A1" w:rsidP="005A64A1">
      <w:pPr>
        <w:widowControl w:val="0"/>
        <w:numPr>
          <w:ilvl w:val="0"/>
          <w:numId w:val="15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ab/>
        <w:t>ma braki w wiedzy uniemożliwiające kontynuowanie nauki w klasie programowo wyższej,</w:t>
      </w:r>
    </w:p>
    <w:p w:rsidR="005A64A1" w:rsidRPr="005A64A1" w:rsidRDefault="005A64A1" w:rsidP="005A64A1">
      <w:pPr>
        <w:widowControl w:val="0"/>
        <w:numPr>
          <w:ilvl w:val="0"/>
          <w:numId w:val="15"/>
        </w:numPr>
        <w:tabs>
          <w:tab w:val="left" w:pos="927"/>
        </w:tabs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5A64A1">
        <w:rPr>
          <w:sz w:val="22"/>
        </w:rPr>
        <w:tab/>
        <w:t>nawet przy pomocy nauczyciela nie potrafi wykonać typowych zadań wymagających zastosowania podstawowych umiejętności.</w:t>
      </w:r>
    </w:p>
    <w:p w:rsidR="005A64A1" w:rsidRPr="005A64A1" w:rsidRDefault="005A64A1" w:rsidP="005A64A1">
      <w:pPr>
        <w:widowControl w:val="0"/>
        <w:numPr>
          <w:ilvl w:val="0"/>
          <w:numId w:val="15"/>
        </w:numPr>
        <w:tabs>
          <w:tab w:val="left" w:pos="927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0"/>
          <w:szCs w:val="20"/>
        </w:rPr>
      </w:pPr>
      <w:r w:rsidRPr="005A64A1">
        <w:rPr>
          <w:sz w:val="22"/>
        </w:rPr>
        <w:t xml:space="preserve">Korzysta podczas kartkówek lub sprawdzianów z niedozwolonych źródeł informacji, otrzymuje ocenę niedostateczną i traci możliwość poprawy oceny. </w:t>
      </w:r>
    </w:p>
    <w:p w:rsidR="005A64A1" w:rsidRPr="005A64A1" w:rsidRDefault="005A64A1" w:rsidP="005A64A1">
      <w:pPr>
        <w:ind w:firstLine="284"/>
        <w:jc w:val="both"/>
        <w:rPr>
          <w:sz w:val="22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60"/>
      <w:footerReference w:type="default" r:id="rId61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1D" w:rsidRDefault="003B741D" w:rsidP="00285D6F">
      <w:r>
        <w:separator/>
      </w:r>
    </w:p>
  </w:endnote>
  <w:endnote w:type="continuationSeparator" w:id="0">
    <w:p w:rsidR="003B741D" w:rsidRDefault="003B741D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C861E" wp14:editId="12C1D65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Sagnowska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865E1" wp14:editId="4179394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6296D186" wp14:editId="4EF0EA2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B52D5C6" wp14:editId="03DFC1FC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56CE1">
      <w:rPr>
        <w:noProof/>
      </w:rPr>
      <w:t>2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1D" w:rsidRDefault="003B741D" w:rsidP="00285D6F">
      <w:r>
        <w:separator/>
      </w:r>
    </w:p>
  </w:footnote>
  <w:footnote w:type="continuationSeparator" w:id="0">
    <w:p w:rsidR="003B741D" w:rsidRDefault="003B741D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326BD" wp14:editId="7852088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D7110" wp14:editId="4A876D2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593"/>
    <w:multiLevelType w:val="hybridMultilevel"/>
    <w:tmpl w:val="FCF26E5E"/>
    <w:lvl w:ilvl="0" w:tplc="9AEA9B32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45E6D"/>
    <w:multiLevelType w:val="hybridMultilevel"/>
    <w:tmpl w:val="6BF4C9FA"/>
    <w:lvl w:ilvl="0" w:tplc="894A7232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AF94053"/>
    <w:multiLevelType w:val="hybridMultilevel"/>
    <w:tmpl w:val="F5F2DE28"/>
    <w:lvl w:ilvl="0" w:tplc="DD6630EC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62F54"/>
    <w:multiLevelType w:val="hybridMultilevel"/>
    <w:tmpl w:val="D3F01AC8"/>
    <w:lvl w:ilvl="0" w:tplc="B54467C0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14883"/>
    <w:multiLevelType w:val="hybridMultilevel"/>
    <w:tmpl w:val="16146C4C"/>
    <w:lvl w:ilvl="0" w:tplc="894A7232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F4973"/>
    <w:multiLevelType w:val="hybridMultilevel"/>
    <w:tmpl w:val="001ECD64"/>
    <w:lvl w:ilvl="0" w:tplc="ECC6213A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B6148"/>
    <w:multiLevelType w:val="hybridMultilevel"/>
    <w:tmpl w:val="16843DF8"/>
    <w:lvl w:ilvl="0" w:tplc="C0CE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864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3DF"/>
    <w:rsid w:val="00043707"/>
    <w:rsid w:val="00056CE1"/>
    <w:rsid w:val="00057E4C"/>
    <w:rsid w:val="00062E5C"/>
    <w:rsid w:val="0008028D"/>
    <w:rsid w:val="00094B9B"/>
    <w:rsid w:val="000B1209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B741D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A64A1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image" Target="media/image19.wmf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2833-2FBC-4A46-8B7B-800CA0CF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3263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 Bierowiec-Chrustek</cp:lastModifiedBy>
  <cp:revision>2</cp:revision>
  <dcterms:created xsi:type="dcterms:W3CDTF">2018-09-29T05:26:00Z</dcterms:created>
  <dcterms:modified xsi:type="dcterms:W3CDTF">2018-09-29T05:26:00Z</dcterms:modified>
</cp:coreProperties>
</file>